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6B" w:rsidRDefault="00DC32A0">
      <w:pPr>
        <w:autoSpaceDE w:val="0"/>
        <w:autoSpaceDN w:val="0"/>
        <w:spacing w:line="360" w:lineRule="auto"/>
        <w:jc w:val="center"/>
        <w:outlineLvl w:val="0"/>
        <w:rPr>
          <w:rFonts w:ascii="华文仿宋" w:eastAsia="华文仿宋" w:hAnsi="华文仿宋" w:cs="宋体"/>
          <w:b/>
          <w:bCs/>
          <w:kern w:val="0"/>
          <w:sz w:val="36"/>
          <w:szCs w:val="36"/>
        </w:rPr>
      </w:pPr>
      <w:r>
        <w:rPr>
          <w:rFonts w:ascii="华文仿宋" w:eastAsia="华文仿宋" w:hAnsi="华文仿宋" w:cs="宋体" w:hint="eastAsia"/>
          <w:b/>
          <w:bCs/>
          <w:kern w:val="0"/>
          <w:sz w:val="36"/>
          <w:szCs w:val="36"/>
        </w:rPr>
        <w:t>PPP（政府和社会资本合作）项目税收策划业务指引</w:t>
      </w:r>
    </w:p>
    <w:p w:rsidR="00E85C6B" w:rsidRDefault="00DC32A0">
      <w:pPr>
        <w:autoSpaceDE w:val="0"/>
        <w:autoSpaceDN w:val="0"/>
        <w:spacing w:line="360" w:lineRule="auto"/>
        <w:jc w:val="center"/>
        <w:outlineLvl w:val="0"/>
        <w:rPr>
          <w:rFonts w:ascii="华文仿宋" w:eastAsia="华文仿宋" w:hAnsi="华文仿宋" w:cs="宋体"/>
          <w:b/>
          <w:bCs/>
          <w:kern w:val="0"/>
          <w:sz w:val="36"/>
          <w:szCs w:val="36"/>
        </w:rPr>
      </w:pPr>
      <w:r>
        <w:rPr>
          <w:rFonts w:ascii="仿宋" w:eastAsia="仿宋" w:hAnsi="仿宋" w:hint="eastAsia"/>
          <w:b/>
          <w:bCs/>
          <w:kern w:val="44"/>
          <w:sz w:val="36"/>
          <w:szCs w:val="36"/>
        </w:rPr>
        <w:t>——税务</w:t>
      </w:r>
      <w:proofErr w:type="gramStart"/>
      <w:r>
        <w:rPr>
          <w:rFonts w:ascii="仿宋" w:eastAsia="仿宋" w:hAnsi="仿宋" w:hint="eastAsia"/>
          <w:b/>
          <w:bCs/>
          <w:kern w:val="44"/>
          <w:sz w:val="36"/>
          <w:szCs w:val="36"/>
        </w:rPr>
        <w:t>师行业</w:t>
      </w:r>
      <w:proofErr w:type="gramEnd"/>
      <w:r>
        <w:rPr>
          <w:rFonts w:ascii="仿宋" w:eastAsia="仿宋" w:hAnsi="仿宋" w:hint="eastAsia"/>
          <w:b/>
          <w:bCs/>
          <w:kern w:val="44"/>
          <w:sz w:val="36"/>
          <w:szCs w:val="36"/>
        </w:rPr>
        <w:t>涉税专业服务规范第3.4.4号</w:t>
      </w:r>
    </w:p>
    <w:p w:rsidR="00E85C6B" w:rsidRDefault="00DC32A0">
      <w:pPr>
        <w:autoSpaceDE w:val="0"/>
        <w:autoSpaceDN w:val="0"/>
        <w:spacing w:line="360" w:lineRule="auto"/>
        <w:jc w:val="center"/>
        <w:outlineLvl w:val="0"/>
        <w:rPr>
          <w:rFonts w:ascii="仿宋" w:eastAsia="仿宋" w:hAnsi="仿宋" w:cs="宋体"/>
          <w:b/>
          <w:bCs/>
          <w:kern w:val="0"/>
          <w:sz w:val="36"/>
          <w:szCs w:val="36"/>
        </w:rPr>
      </w:pPr>
      <w:r>
        <w:rPr>
          <w:rFonts w:ascii="仿宋" w:eastAsia="仿宋" w:hAnsi="仿宋" w:cs="宋体" w:hint="eastAsia"/>
          <w:b/>
          <w:bCs/>
          <w:kern w:val="0"/>
          <w:sz w:val="36"/>
          <w:szCs w:val="36"/>
        </w:rPr>
        <w:t>（试行）</w:t>
      </w:r>
    </w:p>
    <w:p w:rsidR="00E85C6B" w:rsidRDefault="00DC32A0">
      <w:pPr>
        <w:widowControl/>
        <w:numPr>
          <w:ilvl w:val="0"/>
          <w:numId w:val="1"/>
        </w:numPr>
        <w:autoSpaceDE w:val="0"/>
        <w:autoSpaceDN w:val="0"/>
        <w:spacing w:before="100" w:beforeAutospacing="1" w:after="100" w:afterAutospacing="1" w:line="360" w:lineRule="auto"/>
        <w:jc w:val="center"/>
        <w:outlineLvl w:val="0"/>
        <w:rPr>
          <w:rFonts w:ascii="仿宋" w:eastAsia="仿宋" w:hAnsi="仿宋" w:cs="宋体"/>
          <w:b/>
          <w:bCs/>
          <w:kern w:val="0"/>
          <w:sz w:val="32"/>
          <w:szCs w:val="32"/>
        </w:rPr>
      </w:pPr>
      <w:r>
        <w:rPr>
          <w:rFonts w:ascii="仿宋" w:eastAsia="仿宋" w:hAnsi="仿宋" w:cs="宋体" w:hint="eastAsia"/>
          <w:b/>
          <w:bCs/>
          <w:kern w:val="0"/>
          <w:sz w:val="32"/>
          <w:szCs w:val="32"/>
        </w:rPr>
        <w:t xml:space="preserve"> 总 则</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第一条 </w:t>
      </w:r>
      <w:r>
        <w:rPr>
          <w:rFonts w:ascii="仿宋" w:eastAsia="仿宋" w:hAnsi="仿宋" w:cs="宋体" w:hint="eastAsia"/>
          <w:kern w:val="0"/>
          <w:sz w:val="32"/>
          <w:szCs w:val="32"/>
        </w:rPr>
        <w:t>为了规范税务师事务所及其具有资质的涉税服务人员（以下简称“税务师事务所及其涉税服务人员”）提供</w:t>
      </w:r>
      <w:r>
        <w:rPr>
          <w:rFonts w:ascii="仿宋" w:eastAsia="仿宋" w:hAnsi="仿宋" w:cs="宋体"/>
          <w:kern w:val="0"/>
          <w:sz w:val="32"/>
          <w:szCs w:val="32"/>
        </w:rPr>
        <w:t>政府和社会资本合作</w:t>
      </w:r>
      <w:r>
        <w:rPr>
          <w:rFonts w:ascii="仿宋" w:eastAsia="仿宋" w:hAnsi="仿宋" w:cs="宋体" w:hint="eastAsia"/>
          <w:kern w:val="0"/>
          <w:sz w:val="32"/>
          <w:szCs w:val="32"/>
        </w:rPr>
        <w:t>项目</w:t>
      </w:r>
      <w:r>
        <w:rPr>
          <w:rFonts w:ascii="仿宋" w:eastAsia="仿宋" w:hAnsi="仿宋" w:cs="宋体"/>
          <w:kern w:val="0"/>
          <w:sz w:val="32"/>
          <w:szCs w:val="32"/>
        </w:rPr>
        <w:t>（以下统一简称“PPP”）税收策划业务执业行为，提高执业质量、防范执业风险，依据《涉税专业服务监管办法(试行)》（国家税务总局公告2017年第13号</w:t>
      </w:r>
      <w:r>
        <w:rPr>
          <w:rFonts w:ascii="仿宋" w:eastAsia="仿宋" w:hAnsi="仿宋" w:cs="宋体" w:hint="eastAsia"/>
          <w:kern w:val="0"/>
          <w:sz w:val="32"/>
          <w:szCs w:val="32"/>
        </w:rPr>
        <w:t>发布，</w:t>
      </w:r>
      <w:r>
        <w:rPr>
          <w:rFonts w:ascii="仿宋" w:eastAsia="仿宋" w:hAnsi="仿宋" w:cs="宋体"/>
          <w:kern w:val="0"/>
          <w:sz w:val="32"/>
          <w:szCs w:val="32"/>
        </w:rPr>
        <w:t>2019年第43号修改）</w:t>
      </w:r>
      <w:r>
        <w:rPr>
          <w:rFonts w:ascii="仿宋" w:eastAsia="仿宋" w:hAnsi="仿宋" w:cs="宋体" w:hint="eastAsia"/>
          <w:kern w:val="0"/>
          <w:sz w:val="32"/>
          <w:szCs w:val="32"/>
        </w:rPr>
        <w:t>和中国注册税务师协会《税务师行业涉税专业服务规范基本指引（试行）》</w:t>
      </w:r>
      <w:bookmarkStart w:id="0" w:name="_Hlk89530321"/>
      <w:r>
        <w:rPr>
          <w:rFonts w:ascii="仿宋" w:eastAsia="仿宋" w:hAnsi="仿宋" w:cs="宋体" w:hint="eastAsia"/>
          <w:kern w:val="0"/>
          <w:sz w:val="32"/>
          <w:szCs w:val="32"/>
        </w:rPr>
        <w:t>《税收策划业务指引（试行）》</w:t>
      </w:r>
      <w:bookmarkEnd w:id="0"/>
      <w:r>
        <w:rPr>
          <w:rFonts w:ascii="仿宋" w:eastAsia="仿宋" w:hAnsi="仿宋" w:cs="宋体"/>
          <w:kern w:val="0"/>
          <w:sz w:val="32"/>
          <w:szCs w:val="32"/>
        </w:rPr>
        <w:t>，制定本指引。</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第二条 </w:t>
      </w:r>
      <w:r>
        <w:rPr>
          <w:rFonts w:ascii="仿宋" w:eastAsia="仿宋" w:hAnsi="仿宋" w:cs="宋体" w:hint="eastAsia"/>
          <w:kern w:val="0"/>
          <w:sz w:val="32"/>
          <w:szCs w:val="32"/>
        </w:rPr>
        <w:t>税务师事务所及其涉税服务人员承办</w:t>
      </w:r>
      <w:r>
        <w:rPr>
          <w:rFonts w:ascii="仿宋" w:eastAsia="仿宋" w:hAnsi="仿宋" w:cs="宋体"/>
          <w:kern w:val="0"/>
          <w:sz w:val="32"/>
          <w:szCs w:val="32"/>
        </w:rPr>
        <w:t>PPP税收策划业务适用本指引。</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第三条 </w:t>
      </w:r>
      <w:r>
        <w:rPr>
          <w:rFonts w:ascii="仿宋" w:eastAsia="仿宋" w:hAnsi="仿宋" w:cs="宋体" w:hint="eastAsia"/>
          <w:kern w:val="0"/>
          <w:sz w:val="32"/>
          <w:szCs w:val="32"/>
        </w:rPr>
        <w:t>税务师事务所及其涉税服务人员提供PPP税收策划业务中，遵循《税收策划业务指引（试行）》规定，保持合法合理、客观独立、审慎胜任的执业基本原则。</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第四条 </w:t>
      </w:r>
      <w:r>
        <w:rPr>
          <w:rFonts w:ascii="仿宋" w:eastAsia="仿宋" w:hAnsi="仿宋" w:cs="宋体" w:hint="eastAsia"/>
          <w:kern w:val="0"/>
          <w:sz w:val="32"/>
          <w:szCs w:val="32"/>
        </w:rPr>
        <w:t>税务师事务所及其涉税服务人员提供</w:t>
      </w:r>
      <w:r>
        <w:rPr>
          <w:rFonts w:ascii="仿宋" w:eastAsia="仿宋" w:hAnsi="仿宋" w:cs="宋体"/>
          <w:kern w:val="0"/>
          <w:sz w:val="32"/>
          <w:szCs w:val="32"/>
        </w:rPr>
        <w:t>PPP税收策划业务，应当按照《国家税务总局关于采集涉税专业服务基本信息和业务信息有关事项的公告》（国家税务总局公告 2017 年第49号，以下简称49 号公告）要求，向税务机关报送《</w:t>
      </w:r>
      <w:r>
        <w:rPr>
          <w:rFonts w:ascii="仿宋" w:eastAsia="仿宋" w:hAnsi="仿宋" w:cs="宋体" w:hint="eastAsia"/>
          <w:kern w:val="0"/>
          <w:sz w:val="32"/>
          <w:szCs w:val="32"/>
        </w:rPr>
        <w:t>涉</w:t>
      </w:r>
      <w:r>
        <w:rPr>
          <w:rFonts w:ascii="仿宋" w:eastAsia="仿宋" w:hAnsi="仿宋" w:cs="宋体" w:hint="eastAsia"/>
          <w:kern w:val="0"/>
          <w:sz w:val="32"/>
          <w:szCs w:val="32"/>
        </w:rPr>
        <w:lastRenderedPageBreak/>
        <w:t>税专业服务机构</w:t>
      </w:r>
      <w:r>
        <w:rPr>
          <w:rFonts w:ascii="仿宋" w:eastAsia="仿宋" w:hAnsi="仿宋" w:cs="宋体"/>
          <w:kern w:val="0"/>
          <w:sz w:val="32"/>
          <w:szCs w:val="32"/>
        </w:rPr>
        <w:t>（人员）基本信息采集表》和其他相关信息。</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第五条 </w:t>
      </w:r>
      <w:r>
        <w:rPr>
          <w:rFonts w:ascii="仿宋" w:eastAsia="仿宋" w:hAnsi="仿宋" w:cs="宋体"/>
          <w:kern w:val="0"/>
          <w:sz w:val="32"/>
          <w:szCs w:val="32"/>
        </w:rPr>
        <w:t>税务师事务所及其涉税服务人员提供PPP</w:t>
      </w:r>
      <w:r>
        <w:rPr>
          <w:rFonts w:ascii="仿宋" w:eastAsia="仿宋" w:hAnsi="仿宋" w:cs="宋体" w:hint="eastAsia"/>
          <w:kern w:val="0"/>
          <w:sz w:val="32"/>
          <w:szCs w:val="32"/>
        </w:rPr>
        <w:t>项目</w:t>
      </w:r>
      <w:r>
        <w:rPr>
          <w:rFonts w:ascii="仿宋" w:eastAsia="仿宋" w:hAnsi="仿宋" w:cs="宋体"/>
          <w:kern w:val="0"/>
          <w:sz w:val="32"/>
          <w:szCs w:val="32"/>
        </w:rPr>
        <w:t>税收策划</w:t>
      </w:r>
      <w:r>
        <w:rPr>
          <w:rFonts w:ascii="仿宋" w:eastAsia="仿宋" w:hAnsi="仿宋" w:cs="宋体" w:hint="eastAsia"/>
          <w:kern w:val="0"/>
          <w:sz w:val="32"/>
          <w:szCs w:val="32"/>
        </w:rPr>
        <w:t>业务</w:t>
      </w:r>
      <w:r>
        <w:rPr>
          <w:rFonts w:ascii="仿宋" w:eastAsia="仿宋" w:hAnsi="仿宋" w:cs="宋体"/>
          <w:kern w:val="0"/>
          <w:sz w:val="32"/>
          <w:szCs w:val="32"/>
        </w:rPr>
        <w:t>，实行信任保护原则。存在以下情形之一的，税务师事务所及其涉税服务人员有权终止业务：</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（一）委托人违反法律、法规及相关规定的；</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（二）委托人提供不完整资料信息，且经受托人书面通知后不补充完整的；</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（三）委托人要求违反执业原则的；</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（四）其他因委托人原因限制业务实施的情形；</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（五）其他应当终止业务的情形。</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如已完成部分约定业务，应当按照合同约定收取相应费用，并就已完成事项进行免责性声明，由委托人承担相应责任，税务师事务所及其涉税服务人员不承担该部分责任。</w:t>
      </w:r>
    </w:p>
    <w:p w:rsidR="00E85C6B" w:rsidRDefault="00DC32A0">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 xml:space="preserve">第六条 </w:t>
      </w:r>
      <w:r>
        <w:rPr>
          <w:rFonts w:ascii="仿宋" w:eastAsia="仿宋" w:hAnsi="仿宋" w:cs="宋体" w:hint="eastAsia"/>
          <w:kern w:val="0"/>
          <w:sz w:val="32"/>
          <w:szCs w:val="32"/>
        </w:rPr>
        <w:t>税务师事务所及其涉税服务人员提供PPP税收策划业务，应遵循《税务师行业职业道德指引（试行）》的规定，</w:t>
      </w:r>
      <w:r>
        <w:rPr>
          <w:rFonts w:ascii="仿宋" w:eastAsia="仿宋" w:hAnsi="仿宋" w:cs="宋体" w:hint="eastAsia"/>
          <w:sz w:val="32"/>
          <w:szCs w:val="32"/>
        </w:rPr>
        <w:t>不得采取不当承诺、虚假宣传</w:t>
      </w:r>
      <w:r>
        <w:rPr>
          <w:rFonts w:ascii="仿宋" w:eastAsia="仿宋" w:hAnsi="仿宋" w:cs="宋体" w:hint="eastAsia"/>
          <w:kern w:val="0"/>
          <w:sz w:val="32"/>
          <w:szCs w:val="32"/>
        </w:rPr>
        <w:t>等不正当竞争手</w:t>
      </w:r>
      <w:r>
        <w:rPr>
          <w:rFonts w:ascii="仿宋" w:eastAsia="仿宋" w:hAnsi="仿宋" w:cs="宋体" w:hint="eastAsia"/>
          <w:sz w:val="32"/>
          <w:szCs w:val="32"/>
        </w:rPr>
        <w:t>段承揽税收策划业务，不得引导、帮助委托人实施涉税违法活动。</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第七条 </w:t>
      </w:r>
      <w:r>
        <w:rPr>
          <w:rFonts w:ascii="仿宋" w:eastAsia="仿宋" w:hAnsi="仿宋" w:cs="宋体" w:hint="eastAsia"/>
          <w:kern w:val="0"/>
          <w:sz w:val="32"/>
          <w:szCs w:val="32"/>
        </w:rPr>
        <w:t>税务师事务所及其涉税服务人员提供PPP税收策划业务时，应当遵循《税务师行业质量控制指引（试行）》《税务师行业涉税专业服务程序指引（试行）》《税收策划业务指引（试行）》相关的规定，在业务承接、业务委派、业务计划、业务实施、业务结果、业务档案等税收策划服务各阶</w:t>
      </w:r>
      <w:r>
        <w:rPr>
          <w:rFonts w:ascii="仿宋" w:eastAsia="仿宋" w:hAnsi="仿宋" w:cs="宋体" w:hint="eastAsia"/>
          <w:kern w:val="0"/>
          <w:sz w:val="32"/>
          <w:szCs w:val="32"/>
        </w:rPr>
        <w:lastRenderedPageBreak/>
        <w:t>段，充分考虑对执业风险的影响因素，使执业风险降低到可以接受的程度。</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第八条 </w:t>
      </w:r>
      <w:r>
        <w:rPr>
          <w:rFonts w:ascii="仿宋" w:eastAsia="仿宋" w:hAnsi="仿宋" w:cs="宋体" w:hint="eastAsia"/>
          <w:kern w:val="0"/>
          <w:sz w:val="32"/>
          <w:szCs w:val="32"/>
        </w:rPr>
        <w:t>税务师事务所及其涉税服务人员根据承接业务的简易程度，可以</w:t>
      </w:r>
      <w:proofErr w:type="gramStart"/>
      <w:r>
        <w:rPr>
          <w:rFonts w:ascii="仿宋" w:eastAsia="仿宋" w:hAnsi="仿宋" w:cs="宋体" w:hint="eastAsia"/>
          <w:kern w:val="0"/>
          <w:sz w:val="32"/>
          <w:szCs w:val="32"/>
        </w:rPr>
        <w:t>选择仅</w:t>
      </w:r>
      <w:proofErr w:type="gramEnd"/>
      <w:r>
        <w:rPr>
          <w:rFonts w:ascii="仿宋" w:eastAsia="仿宋" w:hAnsi="仿宋" w:cs="宋体" w:hint="eastAsia"/>
          <w:kern w:val="0"/>
          <w:sz w:val="32"/>
          <w:szCs w:val="32"/>
        </w:rPr>
        <w:t>执行部分程序或</w:t>
      </w:r>
      <w:proofErr w:type="gramStart"/>
      <w:r>
        <w:rPr>
          <w:rFonts w:ascii="仿宋" w:eastAsia="仿宋" w:hAnsi="仿宋" w:cs="宋体" w:hint="eastAsia"/>
          <w:kern w:val="0"/>
          <w:sz w:val="32"/>
          <w:szCs w:val="32"/>
        </w:rPr>
        <w:t>按部分</w:t>
      </w:r>
      <w:proofErr w:type="gramEnd"/>
      <w:r>
        <w:rPr>
          <w:rFonts w:ascii="仿宋" w:eastAsia="仿宋" w:hAnsi="仿宋" w:cs="宋体" w:hint="eastAsia"/>
          <w:kern w:val="0"/>
          <w:sz w:val="32"/>
          <w:szCs w:val="32"/>
        </w:rPr>
        <w:t>阶段执行策划服务，但需保证已执行程序或阶段性服务成果足以支撑方案制定以及结论。</w:t>
      </w:r>
    </w:p>
    <w:p w:rsidR="00E85C6B" w:rsidRDefault="00DC32A0">
      <w:pPr>
        <w:widowControl/>
        <w:spacing w:before="100" w:beforeAutospacing="1" w:after="100" w:afterAutospacing="1" w:line="360" w:lineRule="auto"/>
        <w:jc w:val="center"/>
        <w:outlineLvl w:val="0"/>
        <w:rPr>
          <w:rFonts w:ascii="仿宋" w:eastAsia="仿宋" w:hAnsi="仿宋" w:cs="宋体"/>
          <w:b/>
          <w:bCs/>
          <w:kern w:val="0"/>
          <w:sz w:val="32"/>
          <w:szCs w:val="32"/>
        </w:rPr>
      </w:pPr>
      <w:r>
        <w:rPr>
          <w:rFonts w:ascii="仿宋" w:eastAsia="仿宋" w:hAnsi="仿宋" w:cs="宋体" w:hint="eastAsia"/>
          <w:b/>
          <w:bCs/>
          <w:kern w:val="0"/>
          <w:sz w:val="32"/>
          <w:szCs w:val="32"/>
        </w:rPr>
        <w:t>第二章 业务定义与目标</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第九条 </w:t>
      </w:r>
      <w:r>
        <w:rPr>
          <w:rFonts w:ascii="仿宋" w:eastAsia="仿宋" w:hAnsi="仿宋" w:cs="宋体" w:hint="eastAsia"/>
          <w:kern w:val="0"/>
          <w:sz w:val="32"/>
          <w:szCs w:val="32"/>
        </w:rPr>
        <w:t>本指引所称</w:t>
      </w:r>
      <w:r>
        <w:rPr>
          <w:rFonts w:ascii="仿宋" w:eastAsia="仿宋" w:hAnsi="仿宋" w:cs="宋体"/>
          <w:kern w:val="0"/>
          <w:sz w:val="32"/>
          <w:szCs w:val="32"/>
        </w:rPr>
        <w:t>PPP项目是指按照《财政部关于推广运用政府和社会资本合作模式有关问题的通知》(财金[2014]76号)及其他相关法律法规明确的政府和社会资本合作模式（public-private partnership，PPP），即在基础设施及公共服务领域建立的一种长期合作关系。</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PPP项目通常模式是由社会资本承担设计、建设、运营、维护基础设施的大部分工作，并通过“使用者付费”</w:t>
      </w:r>
      <w:r>
        <w:rPr>
          <w:rFonts w:ascii="仿宋" w:eastAsia="仿宋" w:hAnsi="仿宋" w:cs="宋体" w:hint="eastAsia"/>
          <w:kern w:val="0"/>
          <w:sz w:val="32"/>
          <w:szCs w:val="32"/>
        </w:rPr>
        <w:t>、“政府付费”及必要的“可行性缺口补助”</w:t>
      </w:r>
      <w:r>
        <w:rPr>
          <w:rFonts w:ascii="仿宋" w:eastAsia="仿宋" w:hAnsi="仿宋" w:cs="宋体"/>
          <w:kern w:val="0"/>
          <w:sz w:val="32"/>
          <w:szCs w:val="32"/>
        </w:rPr>
        <w:t>获得合理投资回报；政府部门负责基础设施及公共服务价格和质量监管，以保证公共利益最大化</w:t>
      </w:r>
      <w:r>
        <w:rPr>
          <w:rFonts w:ascii="仿宋" w:eastAsia="仿宋" w:hAnsi="仿宋" w:cs="宋体" w:hint="eastAsia"/>
          <w:kern w:val="0"/>
          <w:sz w:val="32"/>
          <w:szCs w:val="32"/>
        </w:rPr>
        <w:t>。</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PPP项目一般通过长周期特许运营的方式取得建设及经营权，因此PPP项目的税收策划难点集中于全周期的税收分析与管理要点提示，避免项目在战略投资、运营管理、税收</w:t>
      </w:r>
      <w:proofErr w:type="gramStart"/>
      <w:r>
        <w:rPr>
          <w:rFonts w:ascii="仿宋" w:eastAsia="仿宋" w:hAnsi="仿宋" w:cs="宋体" w:hint="eastAsia"/>
          <w:kern w:val="0"/>
          <w:sz w:val="32"/>
          <w:szCs w:val="32"/>
        </w:rPr>
        <w:t>风控方面</w:t>
      </w:r>
      <w:proofErr w:type="gramEnd"/>
      <w:r>
        <w:rPr>
          <w:rFonts w:ascii="仿宋" w:eastAsia="仿宋" w:hAnsi="仿宋" w:cs="宋体" w:hint="eastAsia"/>
          <w:kern w:val="0"/>
          <w:sz w:val="32"/>
          <w:szCs w:val="32"/>
        </w:rPr>
        <w:t>出现重大漏洞而影响项目的整体战略管理决策。</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lastRenderedPageBreak/>
        <w:t xml:space="preserve">第十条 </w:t>
      </w:r>
      <w:r>
        <w:rPr>
          <w:rFonts w:ascii="仿宋" w:eastAsia="仿宋" w:hAnsi="仿宋" w:cs="宋体"/>
          <w:kern w:val="0"/>
          <w:sz w:val="32"/>
          <w:szCs w:val="32"/>
        </w:rPr>
        <w:t>本指引所称PPP税收策划业务是税务师事务所依法接受委托，依据</w:t>
      </w:r>
      <w:r>
        <w:rPr>
          <w:rFonts w:ascii="仿宋" w:eastAsia="仿宋" w:hAnsi="仿宋" w:cs="宋体" w:hint="eastAsia"/>
          <w:kern w:val="0"/>
          <w:sz w:val="32"/>
          <w:szCs w:val="32"/>
        </w:rPr>
        <w:t>税法、会计准则和会计制度</w:t>
      </w:r>
      <w:r>
        <w:rPr>
          <w:rFonts w:ascii="仿宋" w:eastAsia="仿宋" w:hAnsi="仿宋" w:cs="宋体"/>
          <w:kern w:val="0"/>
          <w:sz w:val="32"/>
          <w:szCs w:val="32"/>
        </w:rPr>
        <w:t>及其他相关法律、法规规定，</w:t>
      </w:r>
      <w:r>
        <w:rPr>
          <w:rFonts w:ascii="仿宋" w:eastAsia="仿宋" w:hAnsi="仿宋" w:cs="宋体" w:hint="eastAsia"/>
          <w:kern w:val="0"/>
          <w:sz w:val="32"/>
          <w:szCs w:val="32"/>
        </w:rPr>
        <w:t>对</w:t>
      </w:r>
      <w:r>
        <w:rPr>
          <w:rFonts w:ascii="仿宋" w:eastAsia="仿宋" w:hAnsi="仿宋" w:cs="宋体"/>
          <w:kern w:val="0"/>
          <w:sz w:val="32"/>
          <w:szCs w:val="32"/>
        </w:rPr>
        <w:t>PPP项目设立、建设、运营、移交等全项目运行周期以及</w:t>
      </w:r>
      <w:r>
        <w:rPr>
          <w:rFonts w:ascii="仿宋" w:eastAsia="仿宋" w:hAnsi="仿宋" w:cs="宋体" w:hint="eastAsia"/>
          <w:kern w:val="0"/>
          <w:sz w:val="32"/>
          <w:szCs w:val="32"/>
        </w:rPr>
        <w:t>为</w:t>
      </w:r>
      <w:r>
        <w:rPr>
          <w:rFonts w:ascii="仿宋" w:eastAsia="仿宋" w:hAnsi="仿宋" w:cs="宋体"/>
          <w:kern w:val="0"/>
          <w:sz w:val="32"/>
          <w:szCs w:val="32"/>
        </w:rPr>
        <w:t>PPP项目</w:t>
      </w:r>
      <w:r>
        <w:rPr>
          <w:rFonts w:ascii="仿宋" w:eastAsia="仿宋" w:hAnsi="仿宋" w:cs="宋体" w:hint="eastAsia"/>
          <w:kern w:val="0"/>
          <w:sz w:val="32"/>
          <w:szCs w:val="32"/>
        </w:rPr>
        <w:t>参与主体</w:t>
      </w:r>
      <w:r>
        <w:rPr>
          <w:rFonts w:ascii="仿宋" w:eastAsia="仿宋" w:hAnsi="仿宋" w:cs="宋体"/>
          <w:kern w:val="0"/>
          <w:sz w:val="32"/>
          <w:szCs w:val="32"/>
        </w:rPr>
        <w:t>相应的涉税事项提供</w:t>
      </w:r>
      <w:r>
        <w:rPr>
          <w:rFonts w:ascii="仿宋" w:eastAsia="仿宋" w:hAnsi="仿宋" w:cs="宋体" w:hint="eastAsia"/>
          <w:kern w:val="0"/>
          <w:sz w:val="32"/>
          <w:szCs w:val="32"/>
        </w:rPr>
        <w:t>纳税</w:t>
      </w:r>
      <w:r>
        <w:rPr>
          <w:rFonts w:ascii="仿宋" w:eastAsia="仿宋" w:hAnsi="仿宋" w:cs="宋体"/>
          <w:kern w:val="0"/>
          <w:sz w:val="32"/>
          <w:szCs w:val="32"/>
        </w:rPr>
        <w:t>方案和</w:t>
      </w:r>
      <w:r>
        <w:rPr>
          <w:rFonts w:ascii="仿宋" w:eastAsia="仿宋" w:hAnsi="仿宋" w:cs="宋体" w:hint="eastAsia"/>
          <w:kern w:val="0"/>
          <w:sz w:val="32"/>
          <w:szCs w:val="32"/>
        </w:rPr>
        <w:t>纳税计划</w:t>
      </w:r>
      <w:r>
        <w:rPr>
          <w:rFonts w:ascii="仿宋" w:eastAsia="仿宋" w:hAnsi="仿宋" w:cs="宋体"/>
          <w:kern w:val="0"/>
          <w:sz w:val="32"/>
          <w:szCs w:val="32"/>
        </w:rPr>
        <w:t>的活动</w:t>
      </w:r>
      <w:r>
        <w:rPr>
          <w:rFonts w:ascii="仿宋" w:eastAsia="仿宋" w:hAnsi="仿宋" w:cs="宋体" w:hint="eastAsia"/>
          <w:kern w:val="0"/>
          <w:sz w:val="32"/>
          <w:szCs w:val="32"/>
        </w:rPr>
        <w:t>，</w:t>
      </w:r>
      <w:r>
        <w:rPr>
          <w:rFonts w:ascii="仿宋" w:eastAsia="仿宋" w:hAnsi="仿宋" w:cs="宋体"/>
          <w:kern w:val="0"/>
          <w:sz w:val="32"/>
          <w:szCs w:val="32"/>
        </w:rPr>
        <w:t>以达到管理</w:t>
      </w:r>
      <w:r>
        <w:rPr>
          <w:rFonts w:ascii="仿宋" w:eastAsia="仿宋" w:hAnsi="仿宋" w:cs="宋体" w:hint="eastAsia"/>
          <w:kern w:val="0"/>
          <w:sz w:val="32"/>
          <w:szCs w:val="32"/>
        </w:rPr>
        <w:t>税务</w:t>
      </w:r>
      <w:r>
        <w:rPr>
          <w:rFonts w:ascii="仿宋" w:eastAsia="仿宋" w:hAnsi="仿宋" w:cs="宋体"/>
          <w:kern w:val="0"/>
          <w:sz w:val="32"/>
          <w:szCs w:val="32"/>
        </w:rPr>
        <w:t>成本，控制</w:t>
      </w:r>
      <w:r>
        <w:rPr>
          <w:rFonts w:ascii="仿宋" w:eastAsia="仿宋" w:hAnsi="仿宋" w:cs="宋体" w:hint="eastAsia"/>
          <w:kern w:val="0"/>
          <w:sz w:val="32"/>
          <w:szCs w:val="32"/>
        </w:rPr>
        <w:t>税务</w:t>
      </w:r>
      <w:r>
        <w:rPr>
          <w:rFonts w:ascii="仿宋" w:eastAsia="仿宋" w:hAnsi="仿宋" w:cs="宋体"/>
          <w:kern w:val="0"/>
          <w:sz w:val="32"/>
          <w:szCs w:val="32"/>
        </w:rPr>
        <w:t>风险，提高经营效益为目标的涉税服务业务。</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第十一条 </w:t>
      </w:r>
      <w:r>
        <w:rPr>
          <w:rFonts w:ascii="仿宋" w:eastAsia="仿宋" w:hAnsi="仿宋" w:cs="宋体" w:hint="eastAsia"/>
          <w:kern w:val="0"/>
          <w:sz w:val="32"/>
          <w:szCs w:val="32"/>
        </w:rPr>
        <w:t>本指引所称P</w:t>
      </w:r>
      <w:r>
        <w:rPr>
          <w:rFonts w:ascii="仿宋" w:eastAsia="仿宋" w:hAnsi="仿宋" w:cs="宋体"/>
          <w:kern w:val="0"/>
          <w:sz w:val="32"/>
          <w:szCs w:val="32"/>
        </w:rPr>
        <w:t>PP</w:t>
      </w:r>
      <w:r>
        <w:rPr>
          <w:rFonts w:ascii="仿宋" w:eastAsia="仿宋" w:hAnsi="仿宋" w:cs="宋体" w:hint="eastAsia"/>
          <w:kern w:val="0"/>
          <w:sz w:val="32"/>
          <w:szCs w:val="32"/>
        </w:rPr>
        <w:t>税收策划</w:t>
      </w:r>
      <w:r>
        <w:rPr>
          <w:rFonts w:ascii="仿宋" w:eastAsia="仿宋" w:hAnsi="仿宋" w:cs="宋体"/>
          <w:kern w:val="0"/>
          <w:sz w:val="32"/>
          <w:szCs w:val="32"/>
        </w:rPr>
        <w:t>业务</w:t>
      </w:r>
      <w:r>
        <w:rPr>
          <w:rFonts w:ascii="仿宋" w:eastAsia="仿宋" w:hAnsi="仿宋" w:cs="宋体" w:hint="eastAsia"/>
          <w:kern w:val="0"/>
          <w:sz w:val="32"/>
          <w:szCs w:val="32"/>
        </w:rPr>
        <w:t>范围，是指以法人主体形式按照与政府签署的PPP业务合同约定，承担PPP运营项目的法人主体或其上级股东委托开展的税收策划业务，PPP项目</w:t>
      </w:r>
      <w:r>
        <w:rPr>
          <w:rFonts w:ascii="仿宋" w:eastAsia="仿宋" w:hAnsi="仿宋" w:cs="宋体"/>
          <w:kern w:val="0"/>
          <w:sz w:val="32"/>
          <w:szCs w:val="32"/>
        </w:rPr>
        <w:t>周期一般情况下包含以下几个阶段：</w:t>
      </w:r>
      <w:r>
        <w:rPr>
          <w:rFonts w:ascii="仿宋" w:eastAsia="仿宋" w:hAnsi="仿宋" w:cs="宋体" w:hint="eastAsia"/>
          <w:kern w:val="0"/>
          <w:sz w:val="32"/>
          <w:szCs w:val="32"/>
        </w:rPr>
        <w:t>设</w:t>
      </w:r>
      <w:r>
        <w:rPr>
          <w:rFonts w:ascii="仿宋" w:eastAsia="仿宋" w:hAnsi="仿宋" w:cs="宋体"/>
          <w:kern w:val="0"/>
          <w:sz w:val="32"/>
          <w:szCs w:val="32"/>
        </w:rPr>
        <w:t>立阶段、建设阶段、运营阶段、移交阶段等。</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项目类型一般为采用建设-运营-移交（BOT）、转让-运营-移交（TOT）等模式实施的基础设施及公共服务领域项目，包括但不限于生态建设和环境保护、市政工程、城镇综合开发等行业。</w:t>
      </w:r>
      <w:r>
        <w:rPr>
          <w:rFonts w:ascii="仿宋" w:eastAsia="仿宋" w:hAnsi="仿宋" w:cs="宋体"/>
          <w:kern w:val="0"/>
          <w:sz w:val="32"/>
          <w:szCs w:val="32"/>
        </w:rPr>
        <w:t>项目形式包括但不限于公共基础设施建设运营，环境保护及治理项目建设运营，民生工程等公共配套服务建设运营，</w:t>
      </w:r>
      <w:proofErr w:type="gramStart"/>
      <w:r>
        <w:rPr>
          <w:rFonts w:ascii="仿宋" w:eastAsia="仿宋" w:hAnsi="仿宋" w:cs="宋体"/>
          <w:kern w:val="0"/>
          <w:sz w:val="32"/>
          <w:szCs w:val="32"/>
        </w:rPr>
        <w:t>三旧改造</w:t>
      </w:r>
      <w:proofErr w:type="gramEnd"/>
      <w:r>
        <w:rPr>
          <w:rFonts w:ascii="仿宋" w:eastAsia="仿宋" w:hAnsi="仿宋" w:cs="宋体"/>
          <w:kern w:val="0"/>
          <w:sz w:val="32"/>
          <w:szCs w:val="32"/>
        </w:rPr>
        <w:t>等城市更新建设移交等</w:t>
      </w:r>
      <w:r>
        <w:rPr>
          <w:rFonts w:ascii="仿宋" w:eastAsia="仿宋" w:hAnsi="仿宋" w:cs="宋体" w:hint="eastAsia"/>
          <w:kern w:val="0"/>
          <w:sz w:val="32"/>
          <w:szCs w:val="32"/>
        </w:rPr>
        <w:t>。</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第十二条</w:t>
      </w:r>
      <w:r>
        <w:rPr>
          <w:rFonts w:ascii="仿宋" w:eastAsia="仿宋" w:hAnsi="仿宋" w:cs="宋体" w:hint="eastAsia"/>
          <w:kern w:val="0"/>
          <w:sz w:val="32"/>
          <w:szCs w:val="32"/>
        </w:rPr>
        <w:t xml:space="preserve"> </w:t>
      </w:r>
      <w:r>
        <w:rPr>
          <w:rFonts w:ascii="仿宋" w:eastAsia="仿宋" w:hAnsi="仿宋" w:cs="宋体"/>
          <w:kern w:val="0"/>
          <w:sz w:val="32"/>
          <w:szCs w:val="32"/>
        </w:rPr>
        <w:t>PPP税收策划业务具体涉及的税种主要包括增值税</w:t>
      </w:r>
      <w:r>
        <w:rPr>
          <w:rFonts w:ascii="仿宋" w:eastAsia="仿宋" w:hAnsi="仿宋" w:cs="宋体" w:hint="eastAsia"/>
          <w:kern w:val="0"/>
          <w:sz w:val="32"/>
          <w:szCs w:val="32"/>
        </w:rPr>
        <w:t>、</w:t>
      </w:r>
      <w:r>
        <w:rPr>
          <w:rFonts w:ascii="仿宋" w:eastAsia="仿宋" w:hAnsi="仿宋" w:cs="宋体"/>
          <w:kern w:val="0"/>
          <w:sz w:val="32"/>
          <w:szCs w:val="32"/>
        </w:rPr>
        <w:t>企业所得税、土地增值税、契税、耕地占用税</w:t>
      </w:r>
      <w:r>
        <w:rPr>
          <w:rFonts w:ascii="仿宋" w:eastAsia="仿宋" w:hAnsi="仿宋" w:cs="宋体" w:hint="eastAsia"/>
          <w:kern w:val="0"/>
          <w:sz w:val="32"/>
          <w:szCs w:val="32"/>
        </w:rPr>
        <w:t>、</w:t>
      </w:r>
      <w:r>
        <w:rPr>
          <w:rFonts w:ascii="仿宋" w:eastAsia="仿宋" w:hAnsi="仿宋" w:cs="宋体"/>
          <w:kern w:val="0"/>
          <w:sz w:val="32"/>
          <w:szCs w:val="32"/>
        </w:rPr>
        <w:t>印花税、房产税、城镇土地使用税等。具体策划涉及的税种应根据委托需求目标确定。</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第十三条 </w:t>
      </w:r>
      <w:r>
        <w:rPr>
          <w:rFonts w:ascii="仿宋" w:eastAsia="仿宋" w:hAnsi="仿宋" w:cs="宋体"/>
          <w:kern w:val="0"/>
          <w:sz w:val="32"/>
          <w:szCs w:val="32"/>
        </w:rPr>
        <w:t>PPP税收策划业务流程包括梳理业务目标、制</w:t>
      </w:r>
      <w:r>
        <w:rPr>
          <w:rFonts w:ascii="仿宋" w:eastAsia="仿宋" w:hAnsi="仿宋" w:cs="宋体"/>
          <w:kern w:val="0"/>
          <w:sz w:val="32"/>
          <w:szCs w:val="32"/>
        </w:rPr>
        <w:lastRenderedPageBreak/>
        <w:t>定业务计划、</w:t>
      </w:r>
      <w:r>
        <w:rPr>
          <w:rFonts w:ascii="仿宋" w:eastAsia="仿宋" w:hAnsi="仿宋" w:cs="宋体" w:hint="eastAsia"/>
          <w:kern w:val="0"/>
          <w:sz w:val="32"/>
          <w:szCs w:val="32"/>
        </w:rPr>
        <w:t>归集</w:t>
      </w:r>
      <w:r>
        <w:rPr>
          <w:rFonts w:ascii="仿宋" w:eastAsia="仿宋" w:hAnsi="仿宋" w:cs="宋体"/>
          <w:kern w:val="0"/>
          <w:sz w:val="32"/>
          <w:szCs w:val="32"/>
        </w:rPr>
        <w:t>项目资料、确定法律依据、测算数据结果、制定策划方案、方案综合</w:t>
      </w:r>
      <w:r>
        <w:rPr>
          <w:rFonts w:ascii="仿宋" w:eastAsia="仿宋" w:hAnsi="仿宋" w:cs="宋体" w:hint="eastAsia"/>
          <w:kern w:val="0"/>
          <w:sz w:val="32"/>
          <w:szCs w:val="32"/>
        </w:rPr>
        <w:t>判断</w:t>
      </w:r>
      <w:r>
        <w:rPr>
          <w:rFonts w:ascii="仿宋" w:eastAsia="仿宋" w:hAnsi="仿宋" w:cs="宋体"/>
          <w:kern w:val="0"/>
          <w:sz w:val="32"/>
          <w:szCs w:val="32"/>
        </w:rPr>
        <w:t>分析等。</w:t>
      </w:r>
    </w:p>
    <w:p w:rsidR="00E85C6B" w:rsidRDefault="00E85C6B">
      <w:pPr>
        <w:autoSpaceDE w:val="0"/>
        <w:autoSpaceDN w:val="0"/>
        <w:spacing w:line="360" w:lineRule="auto"/>
        <w:jc w:val="left"/>
        <w:rPr>
          <w:rFonts w:ascii="仿宋" w:eastAsia="仿宋" w:hAnsi="仿宋" w:cs="宋体"/>
          <w:kern w:val="0"/>
          <w:sz w:val="32"/>
          <w:szCs w:val="32"/>
        </w:rPr>
      </w:pPr>
    </w:p>
    <w:p w:rsidR="00E85C6B" w:rsidRDefault="00DC32A0">
      <w:pPr>
        <w:autoSpaceDE w:val="0"/>
        <w:autoSpaceDN w:val="0"/>
        <w:spacing w:line="360" w:lineRule="auto"/>
        <w:jc w:val="center"/>
        <w:outlineLvl w:val="0"/>
        <w:rPr>
          <w:rFonts w:ascii="仿宋" w:eastAsia="仿宋" w:hAnsi="仿宋" w:cs="宋体"/>
          <w:b/>
          <w:kern w:val="0"/>
          <w:sz w:val="32"/>
          <w:szCs w:val="32"/>
        </w:rPr>
      </w:pPr>
      <w:r>
        <w:rPr>
          <w:rFonts w:ascii="仿宋" w:eastAsia="仿宋" w:hAnsi="仿宋" w:cs="宋体" w:hint="eastAsia"/>
          <w:b/>
          <w:kern w:val="0"/>
          <w:sz w:val="32"/>
          <w:szCs w:val="32"/>
        </w:rPr>
        <w:t xml:space="preserve">第三章 </w:t>
      </w:r>
      <w:r>
        <w:rPr>
          <w:rFonts w:ascii="仿宋" w:eastAsia="仿宋" w:hAnsi="仿宋" w:cs="宋体"/>
          <w:b/>
          <w:kern w:val="0"/>
          <w:sz w:val="32"/>
          <w:szCs w:val="32"/>
        </w:rPr>
        <w:t>业务实施</w:t>
      </w:r>
    </w:p>
    <w:p w:rsidR="00E85C6B" w:rsidRDefault="00DC32A0">
      <w:pPr>
        <w:autoSpaceDE w:val="0"/>
        <w:autoSpaceDN w:val="0"/>
        <w:spacing w:line="360" w:lineRule="auto"/>
        <w:jc w:val="center"/>
        <w:outlineLvl w:val="1"/>
        <w:rPr>
          <w:rFonts w:ascii="仿宋" w:eastAsia="仿宋" w:hAnsi="仿宋" w:cs="宋体"/>
          <w:b/>
          <w:kern w:val="0"/>
          <w:sz w:val="32"/>
          <w:szCs w:val="32"/>
        </w:rPr>
      </w:pPr>
      <w:r>
        <w:rPr>
          <w:rFonts w:ascii="仿宋" w:eastAsia="仿宋" w:hAnsi="仿宋" w:cs="宋体" w:hint="eastAsia"/>
          <w:b/>
          <w:kern w:val="0"/>
          <w:sz w:val="32"/>
          <w:szCs w:val="32"/>
        </w:rPr>
        <w:t>第一节</w:t>
      </w:r>
      <w:r>
        <w:rPr>
          <w:rFonts w:ascii="仿宋" w:eastAsia="仿宋" w:hAnsi="仿宋" w:cs="宋体"/>
          <w:b/>
          <w:kern w:val="0"/>
          <w:sz w:val="32"/>
          <w:szCs w:val="32"/>
        </w:rPr>
        <w:t xml:space="preserve"> 资料</w:t>
      </w:r>
      <w:r>
        <w:rPr>
          <w:rFonts w:ascii="仿宋" w:eastAsia="仿宋" w:hAnsi="仿宋" w:cs="宋体" w:hint="eastAsia"/>
          <w:b/>
          <w:kern w:val="0"/>
          <w:sz w:val="32"/>
          <w:szCs w:val="32"/>
        </w:rPr>
        <w:t>归集及复核</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第十四条</w:t>
      </w:r>
      <w:r>
        <w:rPr>
          <w:rFonts w:ascii="仿宋" w:eastAsia="仿宋" w:hAnsi="仿宋" w:cs="宋体"/>
          <w:b/>
          <w:kern w:val="0"/>
          <w:sz w:val="32"/>
          <w:szCs w:val="32"/>
        </w:rPr>
        <w:t xml:space="preserve"> </w:t>
      </w:r>
      <w:r>
        <w:rPr>
          <w:rFonts w:ascii="仿宋" w:eastAsia="仿宋" w:hAnsi="仿宋" w:cs="宋体"/>
          <w:kern w:val="0"/>
          <w:sz w:val="32"/>
          <w:szCs w:val="32"/>
        </w:rPr>
        <w:t>在进行数据及信息</w:t>
      </w:r>
      <w:r>
        <w:rPr>
          <w:rFonts w:ascii="仿宋" w:eastAsia="仿宋" w:hAnsi="仿宋" w:cs="宋体" w:hint="eastAsia"/>
          <w:kern w:val="0"/>
          <w:sz w:val="32"/>
          <w:szCs w:val="32"/>
        </w:rPr>
        <w:t>归集</w:t>
      </w:r>
      <w:r>
        <w:rPr>
          <w:rFonts w:ascii="仿宋" w:eastAsia="仿宋" w:hAnsi="仿宋" w:cs="宋体"/>
          <w:kern w:val="0"/>
          <w:sz w:val="32"/>
          <w:szCs w:val="32"/>
        </w:rPr>
        <w:t>前，受托涉税服务项目负责人应当考虑行业情况、业务模式、政策法规等因素，制定</w:t>
      </w:r>
      <w:r>
        <w:rPr>
          <w:rFonts w:ascii="仿宋" w:eastAsia="仿宋" w:hAnsi="仿宋" w:cs="宋体" w:hint="eastAsia"/>
          <w:kern w:val="0"/>
          <w:sz w:val="32"/>
          <w:szCs w:val="32"/>
        </w:rPr>
        <w:t>归集</w:t>
      </w:r>
      <w:r>
        <w:rPr>
          <w:rFonts w:ascii="仿宋" w:eastAsia="仿宋" w:hAnsi="仿宋" w:cs="宋体"/>
          <w:kern w:val="0"/>
          <w:sz w:val="32"/>
          <w:szCs w:val="32"/>
        </w:rPr>
        <w:t>范围、</w:t>
      </w:r>
      <w:r>
        <w:rPr>
          <w:rFonts w:ascii="仿宋" w:eastAsia="仿宋" w:hAnsi="仿宋" w:cs="宋体" w:hint="eastAsia"/>
          <w:kern w:val="0"/>
          <w:sz w:val="32"/>
          <w:szCs w:val="32"/>
        </w:rPr>
        <w:t>归集</w:t>
      </w:r>
      <w:r>
        <w:rPr>
          <w:rFonts w:ascii="仿宋" w:eastAsia="仿宋" w:hAnsi="仿宋" w:cs="宋体"/>
          <w:kern w:val="0"/>
          <w:sz w:val="32"/>
          <w:szCs w:val="32"/>
        </w:rPr>
        <w:t>口径及文档格式，并与委托人沟通，明确由其</w:t>
      </w:r>
      <w:r>
        <w:rPr>
          <w:rFonts w:ascii="仿宋" w:eastAsia="仿宋" w:hAnsi="仿宋" w:cs="宋体" w:hint="eastAsia"/>
          <w:kern w:val="0"/>
          <w:sz w:val="32"/>
          <w:szCs w:val="32"/>
        </w:rPr>
        <w:t>进行</w:t>
      </w:r>
      <w:r>
        <w:rPr>
          <w:rFonts w:ascii="仿宋" w:eastAsia="仿宋" w:hAnsi="仿宋" w:cs="宋体"/>
          <w:kern w:val="0"/>
          <w:sz w:val="32"/>
          <w:szCs w:val="32"/>
        </w:rPr>
        <w:t>事前准备。数据</w:t>
      </w:r>
      <w:r>
        <w:rPr>
          <w:rFonts w:ascii="仿宋" w:eastAsia="仿宋" w:hAnsi="仿宋" w:cs="宋体" w:hint="eastAsia"/>
          <w:kern w:val="0"/>
          <w:sz w:val="32"/>
          <w:szCs w:val="32"/>
        </w:rPr>
        <w:t>及</w:t>
      </w:r>
      <w:r>
        <w:rPr>
          <w:rFonts w:ascii="仿宋" w:eastAsia="仿宋" w:hAnsi="仿宋" w:cs="宋体"/>
          <w:kern w:val="0"/>
          <w:sz w:val="32"/>
          <w:szCs w:val="32"/>
        </w:rPr>
        <w:t>信息包括但不限委托人财务数据、</w:t>
      </w:r>
      <w:r>
        <w:rPr>
          <w:rFonts w:ascii="仿宋" w:eastAsia="仿宋" w:hAnsi="仿宋" w:cs="宋体" w:hint="eastAsia"/>
          <w:kern w:val="0"/>
          <w:sz w:val="32"/>
          <w:szCs w:val="32"/>
        </w:rPr>
        <w:t>签订合同、</w:t>
      </w:r>
      <w:r>
        <w:rPr>
          <w:rFonts w:ascii="仿宋" w:eastAsia="仿宋" w:hAnsi="仿宋" w:cs="宋体"/>
          <w:kern w:val="0"/>
          <w:sz w:val="32"/>
          <w:szCs w:val="32"/>
        </w:rPr>
        <w:t>内部管理信息、相关法规政策、行业情况、实操惯例和风险接受程度等。</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第十五条</w:t>
      </w:r>
      <w:r>
        <w:rPr>
          <w:rFonts w:ascii="仿宋" w:eastAsia="仿宋" w:hAnsi="仿宋" w:cs="宋体"/>
          <w:b/>
          <w:kern w:val="0"/>
          <w:sz w:val="32"/>
          <w:szCs w:val="32"/>
        </w:rPr>
        <w:t xml:space="preserve"> </w:t>
      </w:r>
      <w:r>
        <w:rPr>
          <w:rFonts w:ascii="仿宋" w:eastAsia="仿宋" w:hAnsi="仿宋" w:cs="宋体"/>
          <w:kern w:val="0"/>
          <w:sz w:val="32"/>
          <w:szCs w:val="32"/>
        </w:rPr>
        <w:t>开展PPP税收策划业务时，可以通过资料采集、问卷调查、现场访谈等方式，</w:t>
      </w:r>
      <w:r>
        <w:rPr>
          <w:rFonts w:ascii="仿宋" w:eastAsia="仿宋" w:hAnsi="仿宋" w:cs="宋体" w:hint="eastAsia"/>
          <w:kern w:val="0"/>
          <w:sz w:val="32"/>
          <w:szCs w:val="32"/>
        </w:rPr>
        <w:t>归集</w:t>
      </w:r>
      <w:r>
        <w:rPr>
          <w:rFonts w:ascii="仿宋" w:eastAsia="仿宋" w:hAnsi="仿宋" w:cs="宋体"/>
          <w:kern w:val="0"/>
          <w:sz w:val="32"/>
          <w:szCs w:val="32"/>
        </w:rPr>
        <w:t>与税收策划项目相关的数据及信息。</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第十六条</w:t>
      </w:r>
      <w:r>
        <w:rPr>
          <w:rFonts w:ascii="仿宋" w:eastAsia="仿宋" w:hAnsi="仿宋" w:cs="宋体"/>
          <w:b/>
          <w:kern w:val="0"/>
          <w:sz w:val="32"/>
          <w:szCs w:val="32"/>
        </w:rPr>
        <w:t xml:space="preserve"> </w:t>
      </w:r>
      <w:r>
        <w:rPr>
          <w:rFonts w:ascii="仿宋" w:eastAsia="仿宋" w:hAnsi="仿宋" w:cs="宋体"/>
          <w:kern w:val="0"/>
          <w:sz w:val="32"/>
          <w:szCs w:val="32"/>
        </w:rPr>
        <w:t>以资料采集方式向企业开展的数据与信息</w:t>
      </w:r>
      <w:r>
        <w:rPr>
          <w:rFonts w:ascii="仿宋" w:eastAsia="仿宋" w:hAnsi="仿宋" w:cs="宋体" w:hint="eastAsia"/>
          <w:kern w:val="0"/>
          <w:sz w:val="32"/>
          <w:szCs w:val="32"/>
        </w:rPr>
        <w:t>归集</w:t>
      </w:r>
      <w:r>
        <w:rPr>
          <w:rFonts w:ascii="仿宋" w:eastAsia="仿宋" w:hAnsi="仿宋" w:cs="宋体"/>
          <w:kern w:val="0"/>
          <w:sz w:val="32"/>
          <w:szCs w:val="32"/>
        </w:rPr>
        <w:t>，需涵盖PPP</w:t>
      </w:r>
      <w:r>
        <w:rPr>
          <w:rFonts w:ascii="仿宋" w:eastAsia="仿宋" w:hAnsi="仿宋" w:cs="宋体" w:hint="eastAsia"/>
          <w:kern w:val="0"/>
          <w:sz w:val="32"/>
          <w:szCs w:val="32"/>
        </w:rPr>
        <w:t>税收</w:t>
      </w:r>
      <w:r>
        <w:rPr>
          <w:rFonts w:ascii="仿宋" w:eastAsia="仿宋" w:hAnsi="仿宋" w:cs="宋体"/>
          <w:kern w:val="0"/>
          <w:sz w:val="32"/>
          <w:szCs w:val="32"/>
        </w:rPr>
        <w:t>策划涉及的各纳税主体企业资料，重点关注与PPP税收策划直接相关的数据与信息</w:t>
      </w:r>
      <w:r>
        <w:rPr>
          <w:rFonts w:ascii="仿宋" w:eastAsia="仿宋" w:hAnsi="仿宋" w:cs="宋体" w:hint="eastAsia"/>
          <w:kern w:val="0"/>
          <w:sz w:val="32"/>
          <w:szCs w:val="32"/>
        </w:rPr>
        <w:t>归集</w:t>
      </w:r>
      <w:r>
        <w:rPr>
          <w:rFonts w:ascii="仿宋" w:eastAsia="仿宋" w:hAnsi="仿宋" w:cs="宋体"/>
          <w:kern w:val="0"/>
          <w:sz w:val="32"/>
          <w:szCs w:val="32"/>
        </w:rPr>
        <w:t>，包括但不限于以下内容：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（一）基本资料：营业执照、章程、企业组织架构、涉及</w:t>
      </w:r>
      <w:r>
        <w:rPr>
          <w:rFonts w:ascii="仿宋" w:eastAsia="仿宋" w:hAnsi="仿宋" w:cs="宋体"/>
          <w:kern w:val="0"/>
          <w:sz w:val="32"/>
          <w:szCs w:val="32"/>
        </w:rPr>
        <w:t>PPP业务的企业股东会、董事会决议文件等资料；</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（二）财务资料：各年度审计报告、企业所得税年度纳税审核报告、承担PPP运营项目的法人主体执行的财务会计制</w:t>
      </w:r>
      <w:r>
        <w:rPr>
          <w:rFonts w:ascii="仿宋" w:eastAsia="仿宋" w:hAnsi="仿宋" w:cs="宋体" w:hint="eastAsia"/>
          <w:kern w:val="0"/>
          <w:sz w:val="32"/>
          <w:szCs w:val="32"/>
        </w:rPr>
        <w:lastRenderedPageBreak/>
        <w:t>度、各年财务账册明细以及与</w:t>
      </w:r>
      <w:r>
        <w:rPr>
          <w:rFonts w:ascii="仿宋" w:eastAsia="仿宋" w:hAnsi="仿宋" w:cs="宋体"/>
          <w:kern w:val="0"/>
          <w:sz w:val="32"/>
          <w:szCs w:val="32"/>
        </w:rPr>
        <w:t>PPP业务相关的评估报告；</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（三）涉税资料：</w:t>
      </w:r>
      <w:r>
        <w:rPr>
          <w:rFonts w:ascii="仿宋" w:eastAsia="仿宋" w:hAnsi="仿宋" w:cs="宋体"/>
          <w:kern w:val="0"/>
          <w:sz w:val="32"/>
          <w:szCs w:val="32"/>
        </w:rPr>
        <w:t>PPP业务涵盖的税收种类及税率等基本税收处理情况；</w:t>
      </w:r>
      <w:r>
        <w:rPr>
          <w:rFonts w:ascii="仿宋" w:eastAsia="仿宋" w:hAnsi="仿宋" w:cs="宋体" w:hint="eastAsia"/>
          <w:kern w:val="0"/>
          <w:sz w:val="32"/>
          <w:szCs w:val="32"/>
        </w:rPr>
        <w:t>增值税申报表、企业所得税申报表以及其他各类纳税申报表等资料；享受税收优惠、财政补贴等财政、税务、审计等相关部门文书；策划业务涵盖期间的税务稽查通知、涉税风险提示告知书、税务处理决定书、税务行政处罚决定书等重大税务事项文书；</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（四）其他资料：包括但不限于涉及</w:t>
      </w:r>
      <w:r>
        <w:rPr>
          <w:rFonts w:ascii="仿宋" w:eastAsia="仿宋" w:hAnsi="仿宋" w:cs="宋体"/>
          <w:kern w:val="0"/>
          <w:sz w:val="32"/>
          <w:szCs w:val="32"/>
        </w:rPr>
        <w:t>PPP业务相关的主管部门批准文件、政府产业引导文件或指引等资料；</w:t>
      </w:r>
      <w:r>
        <w:rPr>
          <w:rFonts w:ascii="仿宋" w:eastAsia="仿宋" w:hAnsi="仿宋" w:cs="宋体" w:hint="eastAsia"/>
          <w:kern w:val="0"/>
          <w:sz w:val="32"/>
          <w:szCs w:val="32"/>
        </w:rPr>
        <w:t>涉及</w:t>
      </w:r>
      <w:r>
        <w:rPr>
          <w:rFonts w:ascii="仿宋" w:eastAsia="仿宋" w:hAnsi="仿宋" w:cs="宋体"/>
          <w:kern w:val="0"/>
          <w:sz w:val="32"/>
          <w:szCs w:val="32"/>
        </w:rPr>
        <w:t>PPP业务的</w:t>
      </w:r>
      <w:r>
        <w:rPr>
          <w:rFonts w:ascii="仿宋" w:eastAsia="仿宋" w:hAnsi="仿宋" w:cs="宋体" w:hint="eastAsia"/>
          <w:kern w:val="0"/>
          <w:sz w:val="32"/>
          <w:szCs w:val="32"/>
        </w:rPr>
        <w:t>“两评一案”、政府与社会资本签订的</w:t>
      </w:r>
      <w:r>
        <w:rPr>
          <w:rFonts w:ascii="仿宋" w:eastAsia="仿宋" w:hAnsi="仿宋" w:cs="宋体"/>
          <w:kern w:val="0"/>
          <w:sz w:val="32"/>
          <w:szCs w:val="32"/>
        </w:rPr>
        <w:t>PPP合同、</w:t>
      </w:r>
      <w:r>
        <w:rPr>
          <w:rFonts w:ascii="仿宋" w:eastAsia="仿宋" w:hAnsi="仿宋" w:cs="宋体" w:hint="eastAsia"/>
          <w:kern w:val="0"/>
          <w:sz w:val="32"/>
          <w:szCs w:val="32"/>
        </w:rPr>
        <w:t>股东合同、工程建设总分包合同、采购合同、</w:t>
      </w:r>
      <w:r>
        <w:rPr>
          <w:rFonts w:ascii="仿宋" w:eastAsia="仿宋" w:hAnsi="仿宋" w:cs="宋体"/>
          <w:kern w:val="0"/>
          <w:sz w:val="32"/>
          <w:szCs w:val="32"/>
        </w:rPr>
        <w:t>金融机构的融资</w:t>
      </w:r>
      <w:r>
        <w:rPr>
          <w:rFonts w:ascii="仿宋" w:eastAsia="仿宋" w:hAnsi="仿宋" w:cs="宋体" w:hint="eastAsia"/>
          <w:kern w:val="0"/>
          <w:sz w:val="32"/>
          <w:szCs w:val="32"/>
        </w:rPr>
        <w:t>合同、项目可行性研究报告等业务合同</w:t>
      </w:r>
      <w:r>
        <w:rPr>
          <w:rFonts w:ascii="仿宋" w:eastAsia="仿宋" w:hAnsi="仿宋" w:cs="宋体"/>
          <w:kern w:val="0"/>
          <w:sz w:val="32"/>
          <w:szCs w:val="32"/>
        </w:rPr>
        <w:t>、文件等资料；</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（五）其他能确定各纳税主体企业税收状况的资料。</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第十七条 </w:t>
      </w:r>
      <w:r>
        <w:rPr>
          <w:rFonts w:ascii="仿宋" w:eastAsia="仿宋" w:hAnsi="仿宋" w:cs="宋体"/>
          <w:kern w:val="0"/>
          <w:sz w:val="32"/>
          <w:szCs w:val="32"/>
        </w:rPr>
        <w:t>以问卷调查与现场访谈方式向企业开展的数据与信息</w:t>
      </w:r>
      <w:r>
        <w:rPr>
          <w:rFonts w:ascii="仿宋" w:eastAsia="仿宋" w:hAnsi="仿宋" w:cs="宋体" w:hint="eastAsia"/>
          <w:kern w:val="0"/>
          <w:sz w:val="32"/>
          <w:szCs w:val="32"/>
        </w:rPr>
        <w:t>归集，</w:t>
      </w:r>
      <w:r>
        <w:rPr>
          <w:rFonts w:ascii="仿宋" w:eastAsia="仿宋" w:hAnsi="仿宋" w:cs="宋体"/>
          <w:kern w:val="0"/>
          <w:sz w:val="32"/>
          <w:szCs w:val="32"/>
        </w:rPr>
        <w:t>包括但不限于以下内容：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（一）委托</w:t>
      </w:r>
      <w:r>
        <w:rPr>
          <w:rFonts w:ascii="仿宋" w:eastAsia="仿宋" w:hAnsi="仿宋" w:cs="宋体" w:hint="eastAsia"/>
          <w:kern w:val="0"/>
          <w:sz w:val="32"/>
          <w:szCs w:val="32"/>
        </w:rPr>
        <w:t>PPP税收策划的</w:t>
      </w:r>
      <w:r>
        <w:rPr>
          <w:rFonts w:ascii="仿宋" w:eastAsia="仿宋" w:hAnsi="仿宋" w:cs="宋体"/>
          <w:kern w:val="0"/>
          <w:sz w:val="32"/>
          <w:szCs w:val="32"/>
        </w:rPr>
        <w:t>具体目标、背景及服务需求；</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（二）与</w:t>
      </w:r>
      <w:r>
        <w:rPr>
          <w:rFonts w:ascii="仿宋" w:eastAsia="仿宋" w:hAnsi="仿宋" w:cs="宋体" w:hint="eastAsia"/>
          <w:kern w:val="0"/>
          <w:sz w:val="32"/>
          <w:szCs w:val="32"/>
        </w:rPr>
        <w:t>PPP</w:t>
      </w:r>
      <w:r>
        <w:rPr>
          <w:rFonts w:ascii="仿宋" w:eastAsia="仿宋" w:hAnsi="仿宋" w:cs="宋体"/>
          <w:kern w:val="0"/>
          <w:sz w:val="32"/>
          <w:szCs w:val="32"/>
        </w:rPr>
        <w:t>交易事项直接相关的经营战略、发展规划、企业经营等资料；</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（三）</w:t>
      </w:r>
      <w:r>
        <w:rPr>
          <w:rFonts w:ascii="仿宋" w:eastAsia="仿宋" w:hAnsi="仿宋" w:cs="宋体" w:hint="eastAsia"/>
          <w:kern w:val="0"/>
          <w:sz w:val="32"/>
          <w:szCs w:val="32"/>
        </w:rPr>
        <w:t>与PPP交易事项相关的交易结构、运作方式、业务流程以及各相关方基本情况等资料；</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（四）委托人及管理层对税收政策法规</w:t>
      </w:r>
      <w:r>
        <w:rPr>
          <w:rFonts w:ascii="仿宋" w:eastAsia="仿宋" w:hAnsi="仿宋" w:cs="宋体" w:hint="eastAsia"/>
          <w:kern w:val="0"/>
          <w:sz w:val="32"/>
          <w:szCs w:val="32"/>
        </w:rPr>
        <w:t>的正确理解程度，</w:t>
      </w:r>
      <w:r>
        <w:rPr>
          <w:rFonts w:ascii="仿宋" w:eastAsia="仿宋" w:hAnsi="仿宋" w:cs="宋体"/>
          <w:kern w:val="0"/>
          <w:sz w:val="32"/>
          <w:szCs w:val="32"/>
        </w:rPr>
        <w:t>执行与遵从度，</w:t>
      </w:r>
      <w:r>
        <w:rPr>
          <w:rFonts w:ascii="仿宋" w:eastAsia="仿宋" w:hAnsi="仿宋" w:cs="宋体" w:hint="eastAsia"/>
          <w:kern w:val="0"/>
          <w:sz w:val="32"/>
          <w:szCs w:val="32"/>
        </w:rPr>
        <w:t>以及</w:t>
      </w:r>
      <w:r>
        <w:rPr>
          <w:rFonts w:ascii="仿宋" w:eastAsia="仿宋" w:hAnsi="仿宋" w:cs="宋体"/>
          <w:kern w:val="0"/>
          <w:sz w:val="32"/>
          <w:szCs w:val="32"/>
        </w:rPr>
        <w:t>是否存在滥用税收政策规避纳税义务问</w:t>
      </w:r>
      <w:r>
        <w:rPr>
          <w:rFonts w:ascii="仿宋" w:eastAsia="仿宋" w:hAnsi="仿宋" w:cs="宋体"/>
          <w:kern w:val="0"/>
          <w:sz w:val="32"/>
          <w:szCs w:val="32"/>
        </w:rPr>
        <w:lastRenderedPageBreak/>
        <w:t>题；</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（五）其他与</w:t>
      </w:r>
      <w:r>
        <w:rPr>
          <w:rFonts w:ascii="仿宋" w:eastAsia="仿宋" w:hAnsi="仿宋" w:cs="宋体" w:hint="eastAsia"/>
          <w:kern w:val="0"/>
          <w:sz w:val="32"/>
          <w:szCs w:val="32"/>
        </w:rPr>
        <w:t>PPP业务</w:t>
      </w:r>
      <w:r>
        <w:rPr>
          <w:rFonts w:ascii="仿宋" w:eastAsia="仿宋" w:hAnsi="仿宋" w:cs="宋体"/>
          <w:kern w:val="0"/>
          <w:sz w:val="32"/>
          <w:szCs w:val="32"/>
        </w:rPr>
        <w:t>事项相关的信息。</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第十八条 </w:t>
      </w:r>
      <w:r>
        <w:rPr>
          <w:rFonts w:ascii="仿宋" w:eastAsia="仿宋" w:hAnsi="仿宋" w:cs="宋体" w:hint="eastAsia"/>
          <w:kern w:val="0"/>
          <w:sz w:val="32"/>
          <w:szCs w:val="32"/>
        </w:rPr>
        <w:t>对所归集的数据及信息进行初步复核、整理、分析，确保项目数据及信息与服务需求紧密契合，全面准确。审核、分析所归集的数据信息包括但不限于以下事项：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（一）审核纳税申报方面是否存在差错，分析财务核算与纳税申报的差异性；</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（二）分析归集的数据及信息是否恰当、真实和完整；</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（三）分析归集的数据及信息是否与服务需求紧密契合，是否足够支撑方案制定。</w:t>
      </w:r>
    </w:p>
    <w:p w:rsidR="00E85C6B" w:rsidRDefault="00DC32A0">
      <w:pPr>
        <w:autoSpaceDE w:val="0"/>
        <w:autoSpaceDN w:val="0"/>
        <w:spacing w:line="360" w:lineRule="auto"/>
        <w:jc w:val="center"/>
        <w:outlineLvl w:val="1"/>
        <w:rPr>
          <w:rFonts w:ascii="仿宋" w:eastAsia="仿宋" w:hAnsi="仿宋" w:cs="宋体"/>
          <w:kern w:val="0"/>
          <w:sz w:val="32"/>
          <w:szCs w:val="32"/>
        </w:rPr>
      </w:pPr>
      <w:r>
        <w:rPr>
          <w:rFonts w:ascii="仿宋" w:eastAsia="仿宋" w:hAnsi="仿宋" w:cs="宋体" w:hint="eastAsia"/>
          <w:b/>
          <w:bCs/>
          <w:kern w:val="0"/>
          <w:sz w:val="32"/>
          <w:szCs w:val="32"/>
        </w:rPr>
        <w:t>第二节 税收策划访谈及适用法律法规分析</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第十九条 </w:t>
      </w:r>
      <w:r>
        <w:rPr>
          <w:rFonts w:ascii="仿宋" w:eastAsia="仿宋" w:hAnsi="仿宋" w:cs="宋体" w:hint="eastAsia"/>
          <w:kern w:val="0"/>
          <w:sz w:val="32"/>
          <w:szCs w:val="32"/>
        </w:rPr>
        <w:t>结合对委托人提供数据信息的分析，与委托人就税收策划业务背景、业务需求、业务流程和涉税问题进行访谈沟通，对由于委托人情况理解不同而导致的分歧，涉税服务人员应重</w:t>
      </w:r>
      <w:r>
        <w:rPr>
          <w:rFonts w:ascii="仿宋" w:eastAsia="仿宋" w:hAnsi="仿宋" w:cs="宋体"/>
          <w:kern w:val="0"/>
          <w:sz w:val="32"/>
          <w:szCs w:val="32"/>
        </w:rPr>
        <w:t>新调查或与委托人进行讨论、确</w:t>
      </w:r>
      <w:r>
        <w:rPr>
          <w:rFonts w:ascii="仿宋" w:eastAsia="仿宋" w:hAnsi="仿宋" w:cs="宋体" w:hint="eastAsia"/>
          <w:kern w:val="0"/>
          <w:sz w:val="32"/>
          <w:szCs w:val="32"/>
        </w:rPr>
        <w:t>认</w:t>
      </w:r>
      <w:r>
        <w:rPr>
          <w:rFonts w:ascii="仿宋" w:eastAsia="仿宋" w:hAnsi="仿宋" w:cs="宋体"/>
          <w:kern w:val="0"/>
          <w:sz w:val="32"/>
          <w:szCs w:val="32"/>
        </w:rPr>
        <w:t>。</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对涉及委托人重要事项及重大经济利益等资料，可要求委托人签字和盖章确认。</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第二十条</w:t>
      </w:r>
      <w:r>
        <w:rPr>
          <w:rFonts w:ascii="仿宋" w:eastAsia="仿宋" w:hAnsi="仿宋" w:cs="宋体"/>
          <w:b/>
          <w:kern w:val="0"/>
          <w:sz w:val="32"/>
          <w:szCs w:val="32"/>
        </w:rPr>
        <w:t xml:space="preserve"> </w:t>
      </w:r>
      <w:r>
        <w:rPr>
          <w:rFonts w:ascii="仿宋" w:eastAsia="仿宋" w:hAnsi="仿宋" w:cs="宋体"/>
          <w:kern w:val="0"/>
          <w:sz w:val="32"/>
          <w:szCs w:val="32"/>
        </w:rPr>
        <w:t>政策梳理环节应包含但不限于以下内容：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（一）基于P</w:t>
      </w:r>
      <w:r>
        <w:rPr>
          <w:rFonts w:ascii="仿宋" w:eastAsia="仿宋" w:hAnsi="仿宋" w:cs="宋体"/>
          <w:kern w:val="0"/>
          <w:sz w:val="32"/>
          <w:szCs w:val="32"/>
        </w:rPr>
        <w:t>PP</w:t>
      </w:r>
      <w:r>
        <w:rPr>
          <w:rFonts w:ascii="仿宋" w:eastAsia="仿宋" w:hAnsi="仿宋" w:cs="宋体" w:hint="eastAsia"/>
          <w:kern w:val="0"/>
          <w:sz w:val="32"/>
          <w:szCs w:val="32"/>
        </w:rPr>
        <w:t>项目的实际标的，从政策法规与标的委托方的实际业务适用性等角度进行税收政策的梳理；</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（二）通过政策的摘录与分析，形成税收策划目标项目适用性税收政策</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判分析，包括分税种政策分析及区域性税收政</w:t>
      </w:r>
      <w:r>
        <w:rPr>
          <w:rFonts w:ascii="仿宋" w:eastAsia="仿宋" w:hAnsi="仿宋" w:cs="宋体" w:hint="eastAsia"/>
          <w:kern w:val="0"/>
          <w:sz w:val="32"/>
          <w:szCs w:val="32"/>
        </w:rPr>
        <w:lastRenderedPageBreak/>
        <w:t>策分析。</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第二十一条</w:t>
      </w:r>
      <w:r>
        <w:rPr>
          <w:rFonts w:ascii="仿宋" w:eastAsia="仿宋" w:hAnsi="仿宋" w:cs="宋体" w:hint="eastAsia"/>
          <w:kern w:val="0"/>
          <w:sz w:val="32"/>
          <w:szCs w:val="32"/>
        </w:rPr>
        <w:t xml:space="preserve"> 形成基于案例的税收策划政策梳理内容包括：结合委托方的实际情况，选取受托人服务经验中的类似判例，从案例背景、策划条件、执行过程及财税管理部门判定结果等实际情况，与委托人的数据信息及服务需求进行差异分析。同时，结合已归集整理的资料，对委托人的实际策划业务做出整体政策梳理。</w:t>
      </w:r>
    </w:p>
    <w:p w:rsidR="00E85C6B" w:rsidRDefault="00DC32A0">
      <w:pPr>
        <w:autoSpaceDE w:val="0"/>
        <w:autoSpaceDN w:val="0"/>
        <w:spacing w:line="360" w:lineRule="auto"/>
        <w:jc w:val="center"/>
        <w:outlineLvl w:val="1"/>
        <w:rPr>
          <w:rFonts w:ascii="仿宋" w:eastAsia="仿宋" w:hAnsi="仿宋" w:cs="宋体"/>
          <w:b/>
          <w:kern w:val="0"/>
          <w:sz w:val="32"/>
          <w:szCs w:val="32"/>
        </w:rPr>
      </w:pPr>
      <w:r>
        <w:rPr>
          <w:rFonts w:ascii="仿宋" w:eastAsia="仿宋" w:hAnsi="仿宋" w:cs="宋体" w:hint="eastAsia"/>
          <w:b/>
          <w:kern w:val="0"/>
          <w:sz w:val="32"/>
          <w:szCs w:val="32"/>
        </w:rPr>
        <w:t>第三节</w:t>
      </w:r>
      <w:r>
        <w:rPr>
          <w:rFonts w:ascii="仿宋" w:eastAsia="仿宋" w:hAnsi="仿宋" w:cs="宋体"/>
          <w:b/>
          <w:kern w:val="0"/>
          <w:sz w:val="32"/>
          <w:szCs w:val="32"/>
        </w:rPr>
        <w:t xml:space="preserve"> 设计策划方案</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第二十二条 </w:t>
      </w:r>
      <w:r>
        <w:rPr>
          <w:rFonts w:ascii="仿宋" w:eastAsia="仿宋" w:hAnsi="仿宋" w:cs="宋体"/>
          <w:kern w:val="0"/>
          <w:sz w:val="32"/>
          <w:szCs w:val="32"/>
        </w:rPr>
        <w:t>根据委托人的数据信息，结合对数据信息的分析、业务访谈与政策梳理的结论，设计制定策划方案。策划方案应分</w:t>
      </w:r>
      <w:r>
        <w:rPr>
          <w:rFonts w:ascii="仿宋" w:eastAsia="仿宋" w:hAnsi="仿宋" w:cs="宋体" w:hint="eastAsia"/>
          <w:kern w:val="0"/>
          <w:sz w:val="32"/>
          <w:szCs w:val="32"/>
        </w:rPr>
        <w:t>阶段、</w:t>
      </w:r>
      <w:proofErr w:type="gramStart"/>
      <w:r>
        <w:rPr>
          <w:rFonts w:ascii="仿宋" w:eastAsia="仿宋" w:hAnsi="仿宋" w:cs="宋体" w:hint="eastAsia"/>
          <w:kern w:val="0"/>
          <w:sz w:val="32"/>
          <w:szCs w:val="32"/>
        </w:rPr>
        <w:t>按重</w:t>
      </w:r>
      <w:r>
        <w:rPr>
          <w:rFonts w:ascii="仿宋" w:eastAsia="仿宋" w:hAnsi="仿宋" w:cs="宋体"/>
          <w:kern w:val="0"/>
          <w:sz w:val="32"/>
          <w:szCs w:val="32"/>
        </w:rPr>
        <w:t>点</w:t>
      </w:r>
      <w:proofErr w:type="gramEnd"/>
      <w:r>
        <w:rPr>
          <w:rFonts w:ascii="仿宋" w:eastAsia="仿宋" w:hAnsi="仿宋" w:cs="宋体"/>
          <w:kern w:val="0"/>
          <w:sz w:val="32"/>
          <w:szCs w:val="32"/>
        </w:rPr>
        <w:t>设计，并须明确提出方案实施的前置条件、政策依据、步骤顺序、实操要领等。</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第二十三条 </w:t>
      </w:r>
      <w:r>
        <w:rPr>
          <w:rFonts w:ascii="仿宋" w:eastAsia="仿宋" w:hAnsi="仿宋" w:cs="宋体"/>
          <w:kern w:val="0"/>
          <w:sz w:val="32"/>
          <w:szCs w:val="32"/>
        </w:rPr>
        <w:t>在PPP项目税收策划业务中，应按照与委托人的合同约定，结合实际情况，针对PPP项目不同阶段，全面明确税收策划重点。</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第二十四条 </w:t>
      </w:r>
      <w:r>
        <w:rPr>
          <w:rFonts w:ascii="仿宋" w:eastAsia="仿宋" w:hAnsi="仿宋" w:cs="宋体"/>
          <w:kern w:val="0"/>
          <w:sz w:val="32"/>
          <w:szCs w:val="32"/>
        </w:rPr>
        <w:t>PPP项目</w:t>
      </w:r>
      <w:r>
        <w:rPr>
          <w:rFonts w:ascii="仿宋" w:eastAsia="仿宋" w:hAnsi="仿宋" w:cs="宋体" w:hint="eastAsia"/>
          <w:kern w:val="0"/>
          <w:sz w:val="32"/>
          <w:szCs w:val="32"/>
        </w:rPr>
        <w:t>设</w:t>
      </w:r>
      <w:r>
        <w:rPr>
          <w:rFonts w:ascii="仿宋" w:eastAsia="仿宋" w:hAnsi="仿宋" w:cs="宋体"/>
          <w:kern w:val="0"/>
          <w:sz w:val="32"/>
          <w:szCs w:val="32"/>
        </w:rPr>
        <w:t>立阶段税收策划</w:t>
      </w:r>
      <w:r>
        <w:rPr>
          <w:rFonts w:ascii="仿宋" w:eastAsia="仿宋" w:hAnsi="仿宋" w:cs="宋体" w:hint="eastAsia"/>
          <w:kern w:val="0"/>
          <w:sz w:val="32"/>
          <w:szCs w:val="32"/>
        </w:rPr>
        <w:t>应</w:t>
      </w:r>
      <w:r>
        <w:rPr>
          <w:rFonts w:ascii="仿宋" w:eastAsia="仿宋" w:hAnsi="仿宋" w:cs="宋体"/>
          <w:kern w:val="0"/>
          <w:sz w:val="32"/>
          <w:szCs w:val="32"/>
        </w:rPr>
        <w:t>重点关注以下</w:t>
      </w:r>
      <w:r>
        <w:rPr>
          <w:rFonts w:ascii="仿宋" w:eastAsia="仿宋" w:hAnsi="仿宋" w:cs="宋体" w:hint="eastAsia"/>
          <w:kern w:val="0"/>
          <w:sz w:val="32"/>
          <w:szCs w:val="32"/>
        </w:rPr>
        <w:t>事项</w:t>
      </w:r>
      <w:r>
        <w:rPr>
          <w:rFonts w:ascii="仿宋" w:eastAsia="仿宋" w:hAnsi="仿宋" w:cs="宋体"/>
          <w:kern w:val="0"/>
          <w:sz w:val="32"/>
          <w:szCs w:val="32"/>
        </w:rPr>
        <w:t>：出资方式选择、融资方式选择、组织形式选择、项目前期费用处理、纳税人资格认定、项目投标报价测算、项目合同谈判、股东</w:t>
      </w:r>
      <w:r>
        <w:rPr>
          <w:rFonts w:ascii="仿宋" w:eastAsia="仿宋" w:hAnsi="仿宋" w:cs="宋体" w:hint="eastAsia"/>
          <w:kern w:val="0"/>
          <w:sz w:val="32"/>
          <w:szCs w:val="32"/>
        </w:rPr>
        <w:t>合同</w:t>
      </w:r>
      <w:r>
        <w:rPr>
          <w:rFonts w:ascii="仿宋" w:eastAsia="仿宋" w:hAnsi="仿宋" w:cs="宋体"/>
          <w:kern w:val="0"/>
          <w:sz w:val="32"/>
          <w:szCs w:val="32"/>
        </w:rPr>
        <w:t>签订等。</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第二十五条 </w:t>
      </w:r>
      <w:r>
        <w:rPr>
          <w:rFonts w:ascii="仿宋" w:eastAsia="仿宋" w:hAnsi="仿宋" w:cs="宋体"/>
          <w:kern w:val="0"/>
          <w:sz w:val="32"/>
          <w:szCs w:val="32"/>
        </w:rPr>
        <w:t>PPP项目的出资通常会涉及政府和社会资本出资，出资方式又可具体分为货币性出资和非货币性出资，在进行出资方式选择的税收策划过程中，应重点关注以下事项：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（一）政府以非货币性资产（比如土地、房屋）出资，对项目公司涉税事项的影响因素；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（二）社会资本以货币性资产出资和以实物资产或无形资产等非货币性资产出资，对项目公司涉税事项的影响因素；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（三）以股权投资的方式注入资本涉税事项的影响因素；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（四）其他影响出资方式选择的税收策划因素。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第二十六条 </w:t>
      </w:r>
      <w:r>
        <w:rPr>
          <w:rFonts w:ascii="仿宋" w:eastAsia="仿宋" w:hAnsi="仿宋" w:cs="宋体"/>
          <w:kern w:val="0"/>
          <w:sz w:val="32"/>
          <w:szCs w:val="32"/>
        </w:rPr>
        <w:t>PPP模式下存在股权融资、债权融资等多种融资方式，</w:t>
      </w:r>
      <w:r>
        <w:rPr>
          <w:rFonts w:ascii="仿宋" w:eastAsia="仿宋" w:hAnsi="仿宋" w:cs="宋体" w:hint="eastAsia"/>
          <w:kern w:val="0"/>
          <w:sz w:val="32"/>
          <w:szCs w:val="32"/>
        </w:rPr>
        <w:t>债权融资为主，在进行融资方式选择的税收策划过程中，应当重点关注以下事项：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w:t>
      </w:r>
      <w:r>
        <w:rPr>
          <w:rFonts w:ascii="仿宋" w:eastAsia="仿宋" w:hAnsi="仿宋" w:cs="宋体"/>
          <w:kern w:val="0"/>
          <w:sz w:val="32"/>
          <w:szCs w:val="32"/>
        </w:rPr>
        <w:t>PPP项目</w:t>
      </w:r>
      <w:r>
        <w:rPr>
          <w:rFonts w:ascii="仿宋" w:eastAsia="仿宋" w:hAnsi="仿宋" w:cs="宋体" w:hint="eastAsia"/>
          <w:kern w:val="0"/>
          <w:sz w:val="32"/>
          <w:szCs w:val="32"/>
        </w:rPr>
        <w:t>融资事项取得无法抵扣贷款服务的进项税额，对项目公司融资成本的影响因素；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w:t>
      </w:r>
      <w:r>
        <w:rPr>
          <w:rFonts w:ascii="仿宋" w:eastAsia="仿宋" w:hAnsi="仿宋" w:cs="宋体"/>
          <w:kern w:val="0"/>
          <w:sz w:val="32"/>
          <w:szCs w:val="32"/>
        </w:rPr>
        <w:t>PPP项目在股权融资</w:t>
      </w:r>
      <w:r>
        <w:rPr>
          <w:rFonts w:ascii="仿宋" w:eastAsia="仿宋" w:hAnsi="仿宋" w:cs="宋体" w:hint="eastAsia"/>
          <w:kern w:val="0"/>
          <w:sz w:val="32"/>
          <w:szCs w:val="32"/>
        </w:rPr>
        <w:t>和</w:t>
      </w:r>
      <w:r>
        <w:rPr>
          <w:rFonts w:ascii="仿宋" w:eastAsia="仿宋" w:hAnsi="仿宋" w:cs="宋体"/>
          <w:kern w:val="0"/>
          <w:sz w:val="32"/>
          <w:szCs w:val="32"/>
        </w:rPr>
        <w:t>其他债券融资方面，</w:t>
      </w:r>
      <w:r>
        <w:rPr>
          <w:rFonts w:ascii="仿宋" w:eastAsia="仿宋" w:hAnsi="仿宋" w:cs="宋体" w:hint="eastAsia"/>
          <w:kern w:val="0"/>
          <w:sz w:val="32"/>
          <w:szCs w:val="32"/>
        </w:rPr>
        <w:t>适用税收优惠政策有限性的影响因素；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w:t>
      </w:r>
      <w:r>
        <w:rPr>
          <w:rFonts w:ascii="仿宋" w:eastAsia="仿宋" w:hAnsi="仿宋" w:cs="宋体"/>
          <w:kern w:val="0"/>
          <w:sz w:val="32"/>
          <w:szCs w:val="32"/>
        </w:rPr>
        <w:t>PPP项目在股权融资和债权融资</w:t>
      </w:r>
      <w:r>
        <w:rPr>
          <w:rFonts w:ascii="仿宋" w:eastAsia="仿宋" w:hAnsi="仿宋" w:cs="宋体" w:hint="eastAsia"/>
          <w:kern w:val="0"/>
          <w:sz w:val="32"/>
          <w:szCs w:val="32"/>
        </w:rPr>
        <w:t>过程面临的混合性投资定性及后续税务处理合</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性判定问题；</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（四）融资形式差异对实际融资增值税税负、所得税税负的影响因素；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（五）其他影响出资方式选择的税收策划因素。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第二十七条 </w:t>
      </w:r>
      <w:r>
        <w:rPr>
          <w:rFonts w:ascii="仿宋" w:eastAsia="仿宋" w:hAnsi="仿宋" w:cs="宋体"/>
          <w:kern w:val="0"/>
          <w:sz w:val="32"/>
          <w:szCs w:val="32"/>
        </w:rPr>
        <w:t>PPP项目公司的组织形式一般情况下以有限责任公司为主，PPP</w:t>
      </w:r>
      <w:r>
        <w:rPr>
          <w:rFonts w:ascii="仿宋" w:eastAsia="仿宋" w:hAnsi="仿宋" w:cs="宋体" w:hint="eastAsia"/>
          <w:kern w:val="0"/>
          <w:sz w:val="32"/>
          <w:szCs w:val="32"/>
        </w:rPr>
        <w:t>项目的直接关联及投资主体出于风险回避等其他目的可能采取成立单体有限责任公司、</w:t>
      </w:r>
      <w:proofErr w:type="gramStart"/>
      <w:r>
        <w:rPr>
          <w:rFonts w:ascii="仿宋" w:eastAsia="仿宋" w:hAnsi="仿宋" w:cs="宋体" w:hint="eastAsia"/>
          <w:kern w:val="0"/>
          <w:sz w:val="32"/>
          <w:szCs w:val="32"/>
        </w:rPr>
        <w:t>分期项目</w:t>
      </w:r>
      <w:proofErr w:type="gramEnd"/>
      <w:r>
        <w:rPr>
          <w:rFonts w:ascii="仿宋" w:eastAsia="仿宋" w:hAnsi="仿宋" w:cs="宋体" w:hint="eastAsia"/>
          <w:kern w:val="0"/>
          <w:sz w:val="32"/>
          <w:szCs w:val="32"/>
        </w:rPr>
        <w:t>设立分公司等形式；P</w:t>
      </w:r>
      <w:r>
        <w:rPr>
          <w:rFonts w:ascii="仿宋" w:eastAsia="仿宋" w:hAnsi="仿宋" w:cs="宋体"/>
          <w:kern w:val="0"/>
          <w:sz w:val="32"/>
          <w:szCs w:val="32"/>
        </w:rPr>
        <w:t>PP</w:t>
      </w:r>
      <w:r>
        <w:rPr>
          <w:rFonts w:ascii="仿宋" w:eastAsia="仿宋" w:hAnsi="仿宋" w:cs="宋体" w:hint="eastAsia"/>
          <w:kern w:val="0"/>
          <w:sz w:val="32"/>
          <w:szCs w:val="32"/>
        </w:rPr>
        <w:t>项目公司的投资人（股东）还可能选择有限</w:t>
      </w:r>
      <w:r>
        <w:rPr>
          <w:rFonts w:ascii="仿宋" w:eastAsia="仿宋" w:hAnsi="仿宋" w:cs="宋体" w:hint="eastAsia"/>
          <w:kern w:val="0"/>
          <w:sz w:val="32"/>
          <w:szCs w:val="32"/>
        </w:rPr>
        <w:lastRenderedPageBreak/>
        <w:t>合伙企业等形式。不同的组织形式，对投资方及项目公司会产生不同的影响。在组织形式选择的税收策划过程中，应当重点关注以下事项：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（一）项目公司为有限责任公司，政府和社会资本收益模式面临增值税应税与否、适用税率，所得税是否属于征税范围等税收政策差异问题，对社会资本方涉税事项的影响因素；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（二）通过项目分期设立分公司形式，应关注总分机构间税收优惠政策的适用性问题；</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（三）投资人为有限合伙企业，应关注“先分后税”的原则划分收益以及合伙企业收入性质对税负及税目的影响因素；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其他影响组织形式选择的税收策划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第二十八条 </w:t>
      </w:r>
      <w:r>
        <w:rPr>
          <w:rFonts w:ascii="仿宋" w:eastAsia="仿宋" w:hAnsi="仿宋" w:cs="宋体"/>
          <w:kern w:val="0"/>
          <w:sz w:val="32"/>
          <w:szCs w:val="32"/>
        </w:rPr>
        <w:t>前期费用的支付一般是由地方政府先行支付，后期通过公开招标，确定社会资本方后，一般会约定PPP项目前期费用由项目公司承担。项目公司成立后由其将资金支付给政府方，政府方开具行政事业资金往来收据，项目公司凭此收据入账。在项目前期费用处理的税收策划过程中</w:t>
      </w:r>
      <w:r>
        <w:rPr>
          <w:rFonts w:ascii="仿宋" w:eastAsia="仿宋" w:hAnsi="仿宋" w:cs="宋体" w:hint="eastAsia"/>
          <w:kern w:val="0"/>
          <w:sz w:val="32"/>
          <w:szCs w:val="32"/>
        </w:rPr>
        <w:t>，</w:t>
      </w:r>
      <w:r>
        <w:rPr>
          <w:rFonts w:ascii="仿宋" w:eastAsia="仿宋" w:hAnsi="仿宋" w:cs="宋体"/>
          <w:kern w:val="0"/>
          <w:sz w:val="32"/>
          <w:szCs w:val="32"/>
        </w:rPr>
        <w:t>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（一）在项目公司成立前已经发生的前期费用，项目公司</w:t>
      </w:r>
      <w:proofErr w:type="gramStart"/>
      <w:r>
        <w:rPr>
          <w:rFonts w:ascii="仿宋" w:eastAsia="仿宋" w:hAnsi="仿宋" w:cs="宋体" w:hint="eastAsia"/>
          <w:kern w:val="0"/>
          <w:sz w:val="32"/>
          <w:szCs w:val="32"/>
        </w:rPr>
        <w:t>凭借政府方</w:t>
      </w:r>
      <w:proofErr w:type="gramEnd"/>
      <w:r>
        <w:rPr>
          <w:rFonts w:ascii="仿宋" w:eastAsia="仿宋" w:hAnsi="仿宋" w:cs="宋体" w:hint="eastAsia"/>
          <w:kern w:val="0"/>
          <w:sz w:val="32"/>
          <w:szCs w:val="32"/>
        </w:rPr>
        <w:t>开具行政事业资金往来收据入账对应的增值税税负成本增加及企业所得税税前扣除等问题；</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（二）项目公司与政府指定服务主体间换签合同从而实现实际业务匹配的可行性分析；</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（三）</w:t>
      </w:r>
      <w:r>
        <w:rPr>
          <w:rFonts w:ascii="仿宋" w:eastAsia="仿宋" w:hAnsi="仿宋" w:cs="宋体"/>
          <w:kern w:val="0"/>
          <w:sz w:val="32"/>
          <w:szCs w:val="32"/>
        </w:rPr>
        <w:t>其他影响项目前期费用处理的税收策划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第二十九条 </w:t>
      </w:r>
      <w:r>
        <w:rPr>
          <w:rFonts w:ascii="仿宋" w:eastAsia="仿宋" w:hAnsi="仿宋" w:cs="宋体"/>
          <w:kern w:val="0"/>
          <w:sz w:val="32"/>
          <w:szCs w:val="32"/>
        </w:rPr>
        <w:t>项目公司成立后，可以选择申请办理一般纳税人资格认定或选择办理小规模纳税人资格认定。在办理纳税人资格认定的税收策划过程中</w:t>
      </w:r>
      <w:r>
        <w:rPr>
          <w:rFonts w:ascii="仿宋" w:eastAsia="仿宋" w:hAnsi="仿宋" w:cs="宋体" w:hint="eastAsia"/>
          <w:kern w:val="0"/>
          <w:sz w:val="32"/>
          <w:szCs w:val="32"/>
        </w:rPr>
        <w:t>，</w:t>
      </w:r>
      <w:r>
        <w:rPr>
          <w:rFonts w:ascii="仿宋" w:eastAsia="仿宋" w:hAnsi="仿宋" w:cs="宋体"/>
          <w:kern w:val="0"/>
          <w:sz w:val="32"/>
          <w:szCs w:val="32"/>
        </w:rPr>
        <w:t>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（一）综合考虑纳税人资格的认定，对项目公司收入和成本确定的影响因素；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（二）其他影响纳税人资格认定的税收策划因素。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第三十条 </w:t>
      </w:r>
      <w:r>
        <w:rPr>
          <w:rFonts w:ascii="仿宋" w:eastAsia="仿宋" w:hAnsi="仿宋" w:cs="宋体"/>
          <w:kern w:val="0"/>
          <w:sz w:val="32"/>
          <w:szCs w:val="32"/>
        </w:rPr>
        <w:t>建立PPP项目的投资测算模型，对项目投标报价进行测算，在进行项目投标报价测算税收策划时</w:t>
      </w:r>
      <w:r>
        <w:rPr>
          <w:rFonts w:ascii="仿宋" w:eastAsia="仿宋" w:hAnsi="仿宋" w:cs="宋体" w:hint="eastAsia"/>
          <w:kern w:val="0"/>
          <w:sz w:val="32"/>
          <w:szCs w:val="32"/>
        </w:rPr>
        <w:t>，</w:t>
      </w:r>
      <w:r>
        <w:rPr>
          <w:rFonts w:ascii="仿宋" w:eastAsia="仿宋" w:hAnsi="仿宋" w:cs="宋体"/>
          <w:kern w:val="0"/>
          <w:sz w:val="32"/>
          <w:szCs w:val="32"/>
        </w:rPr>
        <w:t>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（一）项目运营期增值税适用的计税方法，如果适用一般计税方法，运营期的收入要按照适用税率进行价税分离；</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（二）项目建设期投入资金购进的货物、劳务、服务，测算时对可抵扣进项税的购进成本进行价税分离；</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（三）针对建设投入的合同资产，采取不同形式的确认及与地方政府的可用性服务费结算方式的差异，分别确认建设</w:t>
      </w:r>
      <w:proofErr w:type="gramStart"/>
      <w:r>
        <w:rPr>
          <w:rFonts w:ascii="仿宋" w:eastAsia="仿宋" w:hAnsi="仿宋" w:cs="宋体" w:hint="eastAsia"/>
          <w:kern w:val="0"/>
          <w:sz w:val="32"/>
          <w:szCs w:val="32"/>
        </w:rPr>
        <w:t>期取得</w:t>
      </w:r>
      <w:proofErr w:type="gramEnd"/>
      <w:r>
        <w:rPr>
          <w:rFonts w:ascii="仿宋" w:eastAsia="仿宋" w:hAnsi="仿宋" w:cs="宋体" w:hint="eastAsia"/>
          <w:kern w:val="0"/>
          <w:sz w:val="32"/>
          <w:szCs w:val="32"/>
        </w:rPr>
        <w:t>的增值税进项税额是否满足增值税抵扣条件；</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（四）运营</w:t>
      </w:r>
      <w:proofErr w:type="gramStart"/>
      <w:r>
        <w:rPr>
          <w:rFonts w:ascii="仿宋" w:eastAsia="仿宋" w:hAnsi="仿宋" w:cs="宋体" w:hint="eastAsia"/>
          <w:kern w:val="0"/>
          <w:sz w:val="32"/>
          <w:szCs w:val="32"/>
        </w:rPr>
        <w:t>期成本</w:t>
      </w:r>
      <w:proofErr w:type="gramEnd"/>
      <w:r>
        <w:rPr>
          <w:rFonts w:ascii="仿宋" w:eastAsia="仿宋" w:hAnsi="仿宋" w:cs="宋体" w:hint="eastAsia"/>
          <w:kern w:val="0"/>
          <w:sz w:val="32"/>
          <w:szCs w:val="32"/>
        </w:rPr>
        <w:t>中的贷款利息不可以抵扣进项，其他成本测算需要考虑进项税抵扣；</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（五）根据项目公司适用的企业所得税税率，测算税后利润及税后相关指标；</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（六）其他影响项目投标报价测算的税收策划因素。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lastRenderedPageBreak/>
        <w:t>第三十一条</w:t>
      </w:r>
      <w:r>
        <w:rPr>
          <w:rFonts w:ascii="仿宋" w:eastAsia="仿宋" w:hAnsi="仿宋" w:cs="宋体"/>
          <w:b/>
          <w:kern w:val="0"/>
          <w:sz w:val="32"/>
          <w:szCs w:val="32"/>
        </w:rPr>
        <w:tab/>
      </w:r>
      <w:r>
        <w:rPr>
          <w:rFonts w:ascii="仿宋" w:eastAsia="仿宋" w:hAnsi="仿宋" w:cs="宋体"/>
          <w:kern w:val="0"/>
          <w:sz w:val="32"/>
          <w:szCs w:val="32"/>
        </w:rPr>
        <w:t>PPP项目周期较长、交易结构复杂、交易主体众多，各方主体的</w:t>
      </w:r>
      <w:r>
        <w:rPr>
          <w:rFonts w:ascii="仿宋" w:eastAsia="仿宋" w:hAnsi="仿宋" w:cs="宋体" w:hint="eastAsia"/>
          <w:kern w:val="0"/>
          <w:sz w:val="32"/>
          <w:szCs w:val="32"/>
        </w:rPr>
        <w:t>权利义务关注点存在较大差异，</w:t>
      </w:r>
      <w:r>
        <w:rPr>
          <w:rFonts w:ascii="仿宋" w:eastAsia="仿宋" w:hAnsi="仿宋" w:cs="宋体"/>
          <w:kern w:val="0"/>
          <w:sz w:val="32"/>
          <w:szCs w:val="32"/>
        </w:rPr>
        <w:t>在进行项目合同谈判税收策划时，应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（一）立项主体不同会导致税务机关对资产所有权主体判断的不同，进而会导致适用税率的不同；</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（二）不同股权架构设计对社会资本方后期的收益涉税事项影响分析；</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（三）建设项目用地取得方式的不同会导致涉及的税务成本不同，在与政府进行项目用地的合同谈判时，明确项目税费的承担主体问题； </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（四）明确税收政策变化带来的税负负担主体事项；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（五）确定是否满足享受政府补贴及奖励的条件，明确补贴支付时点、补贴的形式、补贴的来源，以满足相应的税收优惠政策；</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（六）确定资产移交的形式，考虑税费对最终收益的影响因素；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（七）其他影响项目合同谈判的税收策划因素。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第三十二条 </w:t>
      </w:r>
      <w:r>
        <w:rPr>
          <w:rFonts w:ascii="仿宋" w:eastAsia="仿宋" w:hAnsi="仿宋" w:cs="宋体" w:hint="eastAsia"/>
          <w:kern w:val="0"/>
          <w:sz w:val="32"/>
          <w:szCs w:val="32"/>
        </w:rPr>
        <w:t>在进行股东合同签订的税收策划时，应当重点关注以下事项：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（一）政府入股资金来源的约定，对项目公司涉税事项的影响因素；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（二）同股不同权的约定，影响到社会资本方取得的分红</w:t>
      </w:r>
      <w:r>
        <w:rPr>
          <w:rFonts w:ascii="仿宋" w:eastAsia="仿宋" w:hAnsi="仿宋" w:cs="宋体" w:hint="eastAsia"/>
          <w:kern w:val="0"/>
          <w:sz w:val="32"/>
          <w:szCs w:val="32"/>
        </w:rPr>
        <w:lastRenderedPageBreak/>
        <w:t>是否能够享受税收优惠；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（三）社会资本方退出的时间和退出方式的约定，将导致其将适用不同的税收政策；</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（四）其他影响股东合同签订的税收策划因素。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第三十三条 </w:t>
      </w:r>
      <w:r>
        <w:rPr>
          <w:rFonts w:ascii="仿宋" w:eastAsia="仿宋" w:hAnsi="仿宋" w:cs="宋体" w:hint="eastAsia"/>
          <w:kern w:val="0"/>
          <w:sz w:val="32"/>
          <w:szCs w:val="32"/>
        </w:rPr>
        <w:t>PPP项目建设阶段税收策划包括但不限于以下重点关注要素：项目用地、项目拆迁费用、总承包方计税方式选择、总承包方合同签订。</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第三十四条 </w:t>
      </w:r>
      <w:r>
        <w:rPr>
          <w:rFonts w:ascii="仿宋" w:eastAsia="仿宋" w:hAnsi="仿宋" w:cs="宋体"/>
          <w:kern w:val="0"/>
          <w:sz w:val="32"/>
          <w:szCs w:val="32"/>
        </w:rPr>
        <w:t>项目公司通过不同的方式取得项目用地，在征地过程中，可能会涉及耕地占用税、城镇土地使用税、契税和印花税，在进行项目用地的税收策划时，应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（一）关注耕地占用税的纳税主体和减免优惠；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（二）关注项目用地的城镇土地使用税、契税和印花税的优惠政策；</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w:t>
      </w:r>
      <w:r>
        <w:rPr>
          <w:rFonts w:ascii="仿宋" w:eastAsia="仿宋" w:hAnsi="仿宋" w:cs="宋体"/>
          <w:kern w:val="0"/>
          <w:sz w:val="32"/>
          <w:szCs w:val="32"/>
        </w:rPr>
        <w:t>其他影响项目用地的税收策划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第三十五条</w:t>
      </w:r>
      <w:r>
        <w:rPr>
          <w:rFonts w:ascii="仿宋" w:eastAsia="仿宋" w:hAnsi="仿宋" w:cs="宋体" w:hint="eastAsia"/>
          <w:kern w:val="0"/>
          <w:sz w:val="32"/>
          <w:szCs w:val="32"/>
        </w:rPr>
        <w:t xml:space="preserve"> </w:t>
      </w:r>
      <w:r>
        <w:rPr>
          <w:rFonts w:ascii="仿宋" w:eastAsia="仿宋" w:hAnsi="仿宋" w:cs="宋体"/>
          <w:kern w:val="0"/>
          <w:sz w:val="32"/>
          <w:szCs w:val="32"/>
        </w:rPr>
        <w:t>PPP项目的拆迁，政府可作为拆迁主体，项目公司也可作为拆迁主体，政府作为拆迁主体</w:t>
      </w:r>
      <w:r>
        <w:rPr>
          <w:rFonts w:ascii="仿宋" w:eastAsia="仿宋" w:hAnsi="仿宋" w:cs="宋体" w:hint="eastAsia"/>
          <w:kern w:val="0"/>
          <w:sz w:val="32"/>
          <w:szCs w:val="32"/>
        </w:rPr>
        <w:t>一般采取</w:t>
      </w:r>
      <w:r>
        <w:rPr>
          <w:rFonts w:ascii="仿宋" w:eastAsia="仿宋" w:hAnsi="仿宋" w:cs="宋体"/>
          <w:kern w:val="0"/>
          <w:sz w:val="32"/>
          <w:szCs w:val="32"/>
        </w:rPr>
        <w:t>固定收益方式</w:t>
      </w:r>
      <w:r>
        <w:rPr>
          <w:rFonts w:ascii="仿宋" w:eastAsia="仿宋" w:hAnsi="仿宋" w:cs="宋体" w:hint="eastAsia"/>
          <w:kern w:val="0"/>
          <w:sz w:val="32"/>
          <w:szCs w:val="32"/>
        </w:rPr>
        <w:t>保障项目公司收益</w:t>
      </w:r>
      <w:r>
        <w:rPr>
          <w:rFonts w:ascii="仿宋" w:eastAsia="仿宋" w:hAnsi="仿宋" w:cs="宋体"/>
          <w:kern w:val="0"/>
          <w:sz w:val="32"/>
          <w:szCs w:val="32"/>
        </w:rPr>
        <w:t>。项目公司作为拆迁主体，可以委托政府机关实施，也可委托政府平台公司实施。在进行项目拆迁费用的税收策划</w:t>
      </w:r>
      <w:r>
        <w:rPr>
          <w:rFonts w:ascii="仿宋" w:eastAsia="仿宋" w:hAnsi="仿宋" w:cs="宋体" w:hint="eastAsia"/>
          <w:kern w:val="0"/>
          <w:sz w:val="32"/>
          <w:szCs w:val="32"/>
        </w:rPr>
        <w:t>业务</w:t>
      </w:r>
      <w:r>
        <w:rPr>
          <w:rFonts w:ascii="仿宋" w:eastAsia="仿宋" w:hAnsi="仿宋" w:cs="宋体"/>
          <w:kern w:val="0"/>
          <w:sz w:val="32"/>
          <w:szCs w:val="32"/>
        </w:rPr>
        <w:t>时</w:t>
      </w:r>
      <w:r>
        <w:rPr>
          <w:rFonts w:ascii="仿宋" w:eastAsia="仿宋" w:hAnsi="仿宋" w:cs="宋体" w:hint="eastAsia"/>
          <w:kern w:val="0"/>
          <w:sz w:val="32"/>
          <w:szCs w:val="32"/>
        </w:rPr>
        <w:t>，应当重点</w:t>
      </w:r>
      <w:r>
        <w:rPr>
          <w:rFonts w:ascii="仿宋" w:eastAsia="仿宋" w:hAnsi="仿宋" w:cs="宋体"/>
          <w:kern w:val="0"/>
          <w:sz w:val="32"/>
          <w:szCs w:val="32"/>
        </w:rPr>
        <w:t>关注以下</w:t>
      </w:r>
      <w:r>
        <w:rPr>
          <w:rFonts w:ascii="仿宋" w:eastAsia="仿宋" w:hAnsi="仿宋" w:cs="宋体" w:hint="eastAsia"/>
          <w:kern w:val="0"/>
          <w:sz w:val="32"/>
          <w:szCs w:val="32"/>
        </w:rPr>
        <w:t>事项</w:t>
      </w:r>
      <w:r>
        <w:rPr>
          <w:rFonts w:ascii="仿宋" w:eastAsia="仿宋" w:hAnsi="仿宋" w:cs="宋体"/>
          <w:kern w:val="0"/>
          <w:sz w:val="32"/>
          <w:szCs w:val="32"/>
        </w:rPr>
        <w:t>：</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（一）在固定收益方式项下，一般指地方政府机关作为拆迁业务发包方，委托项目公司代地方政府机关向原土地使用权</w:t>
      </w:r>
      <w:r>
        <w:rPr>
          <w:rFonts w:ascii="仿宋" w:eastAsia="仿宋" w:hAnsi="仿宋" w:cs="宋体" w:hint="eastAsia"/>
          <w:kern w:val="0"/>
          <w:sz w:val="32"/>
          <w:szCs w:val="32"/>
        </w:rPr>
        <w:lastRenderedPageBreak/>
        <w:t>人支付拆迁补偿费，在项目完成政府付费时，按一定的收益率向项目公司支付垫付资金的利息，这种模式下应关注项目公司实际成本费用及税目税率确认原则准确性问题；</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w:t>
      </w:r>
      <w:r>
        <w:rPr>
          <w:rFonts w:ascii="仿宋" w:eastAsia="仿宋" w:hAnsi="仿宋" w:cs="宋体"/>
          <w:kern w:val="0"/>
          <w:sz w:val="32"/>
          <w:szCs w:val="32"/>
        </w:rPr>
        <w:t>其他影响项目拆迁费用的税收策划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第三十六条 </w:t>
      </w:r>
      <w:r>
        <w:rPr>
          <w:rFonts w:ascii="仿宋" w:eastAsia="仿宋" w:hAnsi="仿宋" w:cs="宋体" w:hint="eastAsia"/>
          <w:kern w:val="0"/>
          <w:sz w:val="32"/>
          <w:szCs w:val="32"/>
        </w:rPr>
        <w:t>项目公司作为一般纳税人，需要采用一般计税方法，根据《关于全面推开营业税改征增值税试点的通知》（财税</w:t>
      </w:r>
      <w:r>
        <w:rPr>
          <w:rFonts w:ascii="仿宋" w:eastAsia="仿宋" w:hAnsi="仿宋" w:cs="宋体"/>
          <w:kern w:val="0"/>
          <w:sz w:val="32"/>
          <w:szCs w:val="32"/>
        </w:rPr>
        <w:t>[2016]36号文</w:t>
      </w:r>
      <w:r>
        <w:rPr>
          <w:rFonts w:ascii="仿宋" w:eastAsia="仿宋" w:hAnsi="仿宋" w:cs="宋体" w:hint="eastAsia"/>
          <w:kern w:val="0"/>
          <w:sz w:val="32"/>
          <w:szCs w:val="32"/>
        </w:rPr>
        <w:t>）</w:t>
      </w:r>
      <w:r>
        <w:rPr>
          <w:rFonts w:ascii="仿宋" w:eastAsia="仿宋" w:hAnsi="仿宋" w:cs="宋体"/>
          <w:kern w:val="0"/>
          <w:sz w:val="32"/>
          <w:szCs w:val="32"/>
        </w:rPr>
        <w:t>的规定，如果项目公司</w:t>
      </w:r>
      <w:proofErr w:type="gramStart"/>
      <w:r>
        <w:rPr>
          <w:rFonts w:ascii="仿宋" w:eastAsia="仿宋" w:hAnsi="仿宋" w:cs="宋体"/>
          <w:kern w:val="0"/>
          <w:sz w:val="32"/>
          <w:szCs w:val="32"/>
        </w:rPr>
        <w:t>采用甲供工程</w:t>
      </w:r>
      <w:proofErr w:type="gramEnd"/>
      <w:r>
        <w:rPr>
          <w:rFonts w:ascii="仿宋" w:eastAsia="仿宋" w:hAnsi="仿宋" w:cs="宋体"/>
          <w:kern w:val="0"/>
          <w:sz w:val="32"/>
          <w:szCs w:val="32"/>
        </w:rPr>
        <w:t>，则总承包方可以选择简易计税方法。</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总承包方选择不同的计税方法将会影响项目公司运营期的期初无形资产成本和</w:t>
      </w:r>
      <w:proofErr w:type="gramStart"/>
      <w:r>
        <w:rPr>
          <w:rFonts w:ascii="仿宋" w:eastAsia="仿宋" w:hAnsi="仿宋" w:cs="宋体"/>
          <w:kern w:val="0"/>
          <w:sz w:val="32"/>
          <w:szCs w:val="32"/>
        </w:rPr>
        <w:t>进项税留抵</w:t>
      </w:r>
      <w:proofErr w:type="gramEnd"/>
      <w:r>
        <w:rPr>
          <w:rFonts w:ascii="仿宋" w:eastAsia="仿宋" w:hAnsi="仿宋" w:cs="宋体"/>
          <w:kern w:val="0"/>
          <w:sz w:val="32"/>
          <w:szCs w:val="32"/>
        </w:rPr>
        <w:t>税额</w:t>
      </w:r>
      <w:r>
        <w:rPr>
          <w:rFonts w:ascii="仿宋" w:eastAsia="仿宋" w:hAnsi="仿宋" w:cs="宋体" w:hint="eastAsia"/>
          <w:kern w:val="0"/>
          <w:sz w:val="32"/>
          <w:szCs w:val="32"/>
        </w:rPr>
        <w:t>，并</w:t>
      </w:r>
      <w:r>
        <w:rPr>
          <w:rFonts w:ascii="仿宋" w:eastAsia="仿宋" w:hAnsi="仿宋" w:cs="宋体"/>
          <w:kern w:val="0"/>
          <w:sz w:val="32"/>
          <w:szCs w:val="32"/>
        </w:rPr>
        <w:t>应关注项目公司对总</w:t>
      </w:r>
      <w:proofErr w:type="gramStart"/>
      <w:r>
        <w:rPr>
          <w:rFonts w:ascii="仿宋" w:eastAsia="仿宋" w:hAnsi="仿宋" w:cs="宋体"/>
          <w:kern w:val="0"/>
          <w:sz w:val="32"/>
          <w:szCs w:val="32"/>
        </w:rPr>
        <w:t>包主体</w:t>
      </w:r>
      <w:proofErr w:type="gramEnd"/>
      <w:r>
        <w:rPr>
          <w:rFonts w:ascii="仿宋" w:eastAsia="仿宋" w:hAnsi="仿宋" w:cs="宋体"/>
          <w:kern w:val="0"/>
          <w:sz w:val="32"/>
          <w:szCs w:val="32"/>
        </w:rPr>
        <w:t>建筑服务适用增值税政策选择的影响</w:t>
      </w:r>
      <w:r>
        <w:rPr>
          <w:rFonts w:ascii="仿宋" w:eastAsia="仿宋" w:hAnsi="仿宋" w:cs="宋体" w:hint="eastAsia"/>
          <w:kern w:val="0"/>
          <w:sz w:val="32"/>
          <w:szCs w:val="32"/>
        </w:rPr>
        <w:t>因素</w:t>
      </w:r>
      <w:r>
        <w:rPr>
          <w:rFonts w:ascii="仿宋" w:eastAsia="仿宋" w:hAnsi="仿宋" w:cs="宋体"/>
          <w:kern w:val="0"/>
          <w:sz w:val="32"/>
          <w:szCs w:val="32"/>
        </w:rPr>
        <w:t>。</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第三十七条 </w:t>
      </w:r>
      <w:r>
        <w:rPr>
          <w:rFonts w:ascii="仿宋" w:eastAsia="仿宋" w:hAnsi="仿宋" w:cs="宋体"/>
          <w:kern w:val="0"/>
          <w:sz w:val="32"/>
          <w:szCs w:val="32"/>
        </w:rPr>
        <w:t>项目公司在与总承包方签订合同时会对双方的权利和义务进行约定，在进行税收策划</w:t>
      </w:r>
      <w:r>
        <w:rPr>
          <w:rFonts w:ascii="仿宋" w:eastAsia="仿宋" w:hAnsi="仿宋" w:cs="宋体" w:hint="eastAsia"/>
          <w:kern w:val="0"/>
          <w:sz w:val="32"/>
          <w:szCs w:val="32"/>
        </w:rPr>
        <w:t>时</w:t>
      </w:r>
      <w:r>
        <w:rPr>
          <w:rFonts w:ascii="仿宋" w:eastAsia="仿宋" w:hAnsi="仿宋" w:cs="宋体"/>
          <w:kern w:val="0"/>
          <w:sz w:val="32"/>
          <w:szCs w:val="32"/>
        </w:rPr>
        <w:t>，应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（一）签订合同时，约定预付款的时间和比例，最大限度降低资金的占用，提高资金的利用效率；</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（二）业务模式直接影响计税方式的选择，经过测算确定计税方式选择后，应调整适合计税方式的业务模式；</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（三）在签订总承包合同时需综合考虑“甲供”“甲指”“甲控”对总承包投资额、收入、建筑业绩的影响，对“三流一致”的要求，明确相应的条款，以满足“营改增”后的核算要求；</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（四）质保金的形式影响合同双方的现金流，质保金发票的开具影响合同双方收入确认和成本扣除，在签订总承包合同时有必要明确质保金的形式和发票开具时间；</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其他影响总承包方合同签订的税收策划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第三十八条 </w:t>
      </w:r>
      <w:r>
        <w:rPr>
          <w:rFonts w:ascii="仿宋" w:eastAsia="仿宋" w:hAnsi="仿宋" w:cs="宋体"/>
          <w:kern w:val="0"/>
          <w:sz w:val="32"/>
          <w:szCs w:val="32"/>
        </w:rPr>
        <w:t>PPP项目运营阶段税收策划应重点关注</w:t>
      </w:r>
      <w:r>
        <w:rPr>
          <w:rFonts w:ascii="仿宋" w:eastAsia="仿宋" w:hAnsi="仿宋" w:cs="宋体" w:hint="eastAsia"/>
          <w:kern w:val="0"/>
          <w:sz w:val="32"/>
          <w:szCs w:val="32"/>
        </w:rPr>
        <w:t>以下事项</w:t>
      </w:r>
      <w:r>
        <w:rPr>
          <w:rFonts w:ascii="仿宋" w:eastAsia="仿宋" w:hAnsi="仿宋" w:cs="宋体"/>
          <w:kern w:val="0"/>
          <w:sz w:val="32"/>
          <w:szCs w:val="32"/>
        </w:rPr>
        <w:t>：后付费机制选择、税收优惠政策适用、收到政府补贴处理、项目适用税率和税目、试运行期间、资产和成本管理</w:t>
      </w:r>
      <w:r>
        <w:rPr>
          <w:rFonts w:ascii="仿宋" w:eastAsia="仿宋" w:hAnsi="仿宋" w:cs="宋体" w:hint="eastAsia"/>
          <w:kern w:val="0"/>
          <w:sz w:val="32"/>
          <w:szCs w:val="32"/>
        </w:rPr>
        <w:t>等。</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在运营阶段的税收策划环节，同时需要重点关注《会计准则》变化引发的税会差异。企业会计准则第</w:t>
      </w:r>
      <w:r>
        <w:rPr>
          <w:rFonts w:ascii="仿宋" w:eastAsia="仿宋" w:hAnsi="仿宋" w:cs="宋体"/>
          <w:kern w:val="0"/>
          <w:sz w:val="32"/>
          <w:szCs w:val="32"/>
        </w:rPr>
        <w:t>14</w:t>
      </w:r>
      <w:r>
        <w:rPr>
          <w:rFonts w:ascii="仿宋" w:eastAsia="仿宋" w:hAnsi="仿宋" w:cs="宋体" w:hint="eastAsia"/>
          <w:kern w:val="0"/>
          <w:sz w:val="32"/>
          <w:szCs w:val="32"/>
        </w:rPr>
        <w:t>号——收入准则中，针对P</w:t>
      </w:r>
      <w:r>
        <w:rPr>
          <w:rFonts w:ascii="仿宋" w:eastAsia="仿宋" w:hAnsi="仿宋" w:cs="宋体"/>
          <w:kern w:val="0"/>
          <w:sz w:val="32"/>
          <w:szCs w:val="32"/>
        </w:rPr>
        <w:t>PP</w:t>
      </w:r>
      <w:r>
        <w:rPr>
          <w:rFonts w:ascii="仿宋" w:eastAsia="仿宋" w:hAnsi="仿宋" w:cs="宋体" w:hint="eastAsia"/>
          <w:kern w:val="0"/>
          <w:sz w:val="32"/>
          <w:szCs w:val="32"/>
        </w:rPr>
        <w:t>的项目核算提出了具体的核算建议及核算方式，《企业会计准则解释第</w:t>
      </w:r>
      <w:r>
        <w:rPr>
          <w:rFonts w:ascii="仿宋" w:eastAsia="仿宋" w:hAnsi="仿宋" w:cs="宋体"/>
          <w:kern w:val="0"/>
          <w:sz w:val="32"/>
          <w:szCs w:val="32"/>
        </w:rPr>
        <w:t>14号》</w:t>
      </w:r>
      <w:r>
        <w:rPr>
          <w:rFonts w:ascii="仿宋" w:eastAsia="仿宋" w:hAnsi="仿宋" w:cs="宋体" w:hint="eastAsia"/>
          <w:kern w:val="0"/>
          <w:sz w:val="32"/>
          <w:szCs w:val="32"/>
        </w:rPr>
        <w:t>对P</w:t>
      </w:r>
      <w:r>
        <w:rPr>
          <w:rFonts w:ascii="仿宋" w:eastAsia="仿宋" w:hAnsi="仿宋" w:cs="宋体"/>
          <w:kern w:val="0"/>
          <w:sz w:val="32"/>
          <w:szCs w:val="32"/>
        </w:rPr>
        <w:t>PP</w:t>
      </w:r>
      <w:r>
        <w:rPr>
          <w:rFonts w:ascii="仿宋" w:eastAsia="仿宋" w:hAnsi="仿宋" w:cs="宋体" w:hint="eastAsia"/>
          <w:kern w:val="0"/>
          <w:sz w:val="32"/>
          <w:szCs w:val="32"/>
        </w:rPr>
        <w:t>项目的会计处理进一步明确了核算规则，而其中部分事项与现行税收法律法规的具体规定存在一定的差异，在策划过程中需要给予足够的关注，并对税会差异的处理、税务调整等业务进行准确把握和处理。</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第三十九条 </w:t>
      </w:r>
      <w:r>
        <w:rPr>
          <w:rFonts w:ascii="仿宋" w:eastAsia="仿宋" w:hAnsi="仿宋" w:cs="宋体"/>
          <w:kern w:val="0"/>
          <w:sz w:val="32"/>
          <w:szCs w:val="32"/>
        </w:rPr>
        <w:t>PPP项目的后续付费机制，一般包括政府付费、</w:t>
      </w:r>
      <w:r>
        <w:rPr>
          <w:rFonts w:ascii="仿宋" w:eastAsia="仿宋" w:hAnsi="仿宋" w:cs="宋体" w:hint="eastAsia"/>
          <w:kern w:val="0"/>
          <w:sz w:val="32"/>
          <w:szCs w:val="32"/>
        </w:rPr>
        <w:t>使用者付费或使用则付费+可行性缺口补助三种方式，从付费名目角度一般又分为可用性付费、使用量付费和绩效付费。</w:t>
      </w:r>
      <w:r>
        <w:rPr>
          <w:rFonts w:ascii="仿宋" w:eastAsia="仿宋" w:hAnsi="仿宋" w:cs="宋体"/>
          <w:kern w:val="0"/>
          <w:sz w:val="32"/>
          <w:szCs w:val="32"/>
        </w:rPr>
        <w:t>在付费机制选择的税收策划过程中，应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（一）付费事项对应的</w:t>
      </w:r>
      <w:r>
        <w:rPr>
          <w:rFonts w:ascii="仿宋" w:eastAsia="仿宋" w:hAnsi="仿宋" w:cs="宋体"/>
          <w:kern w:val="0"/>
          <w:sz w:val="32"/>
          <w:szCs w:val="32"/>
        </w:rPr>
        <w:t>PPP项目公司的服务实质的税收要素判定问题，特别</w:t>
      </w:r>
      <w:r>
        <w:rPr>
          <w:rFonts w:ascii="仿宋" w:eastAsia="仿宋" w:hAnsi="仿宋" w:cs="宋体" w:hint="eastAsia"/>
          <w:kern w:val="0"/>
          <w:sz w:val="32"/>
          <w:szCs w:val="32"/>
        </w:rPr>
        <w:t>是</w:t>
      </w:r>
      <w:r>
        <w:rPr>
          <w:rFonts w:ascii="仿宋" w:eastAsia="仿宋" w:hAnsi="仿宋" w:cs="宋体"/>
          <w:kern w:val="0"/>
          <w:sz w:val="32"/>
          <w:szCs w:val="32"/>
        </w:rPr>
        <w:t>集团型多属地PPP项目公司的情形，应关注政府付费中“可用性服务费”区域间税收要素判定差异问</w:t>
      </w:r>
      <w:r>
        <w:rPr>
          <w:rFonts w:ascii="仿宋" w:eastAsia="仿宋" w:hAnsi="仿宋" w:cs="宋体"/>
          <w:kern w:val="0"/>
          <w:sz w:val="32"/>
          <w:szCs w:val="32"/>
        </w:rPr>
        <w:lastRenderedPageBreak/>
        <w:t>题；</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（二）付费机制及合同签署情况下的纳税义务发生实际时间与实际收付实现之间的差异问题，以及由此引发的潜在税务风险及委托方资金占用成本等策划事项安排；</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w:t>
      </w:r>
      <w:r>
        <w:rPr>
          <w:rFonts w:ascii="仿宋" w:eastAsia="仿宋" w:hAnsi="仿宋" w:cs="宋体"/>
          <w:kern w:val="0"/>
          <w:sz w:val="32"/>
          <w:szCs w:val="32"/>
        </w:rPr>
        <w:t>其他影响企业付费机制选择的</w:t>
      </w:r>
      <w:r>
        <w:rPr>
          <w:rFonts w:ascii="仿宋" w:eastAsia="仿宋" w:hAnsi="仿宋" w:cs="宋体" w:hint="eastAsia"/>
          <w:kern w:val="0"/>
          <w:sz w:val="32"/>
          <w:szCs w:val="32"/>
        </w:rPr>
        <w:t>税收</w:t>
      </w:r>
      <w:r>
        <w:rPr>
          <w:rFonts w:ascii="仿宋" w:eastAsia="仿宋" w:hAnsi="仿宋" w:cs="宋体"/>
          <w:kern w:val="0"/>
          <w:sz w:val="32"/>
          <w:szCs w:val="32"/>
        </w:rPr>
        <w:t>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第四十条 </w:t>
      </w:r>
      <w:r>
        <w:rPr>
          <w:rFonts w:ascii="仿宋" w:eastAsia="仿宋" w:hAnsi="仿宋" w:cs="宋体"/>
          <w:kern w:val="0"/>
          <w:sz w:val="32"/>
          <w:szCs w:val="32"/>
        </w:rPr>
        <w:t>PPP项目一般基于其项目实际运营业务，在满足条件的情况下享受增值税即征即退、企业所得税“三免三减半”、政府补助收入不征收增值税、购入节能环保专用设备减免应纳税额等方面的税收优惠政策，部分特殊区域设立的企业，还可以享受满足条件的西部大开发企业税率优惠等政策。在税收优惠政策</w:t>
      </w:r>
      <w:r>
        <w:rPr>
          <w:rFonts w:ascii="仿宋" w:eastAsia="仿宋" w:hAnsi="仿宋" w:cs="宋体" w:hint="eastAsia"/>
          <w:kern w:val="0"/>
          <w:sz w:val="32"/>
          <w:szCs w:val="32"/>
        </w:rPr>
        <w:t>的</w:t>
      </w:r>
      <w:r>
        <w:rPr>
          <w:rFonts w:ascii="仿宋" w:eastAsia="仿宋" w:hAnsi="仿宋" w:cs="宋体"/>
          <w:kern w:val="0"/>
          <w:sz w:val="32"/>
          <w:szCs w:val="32"/>
        </w:rPr>
        <w:t>策划环节，应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（一）企业基本登记信息与税收优惠政策的契合度；</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 企业纳税信用登记对享受税收优惠政策的影响因素；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（三）企业以前期间接受的行政处罚或发生的税收违规行为对享受税收优惠的影响因素；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其他影响企业税收优惠政策的</w:t>
      </w:r>
      <w:r>
        <w:rPr>
          <w:rFonts w:ascii="仿宋" w:eastAsia="仿宋" w:hAnsi="仿宋" w:cs="宋体" w:hint="eastAsia"/>
          <w:kern w:val="0"/>
          <w:sz w:val="32"/>
          <w:szCs w:val="32"/>
        </w:rPr>
        <w:t>税收策划因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第四十一条 </w:t>
      </w:r>
      <w:r>
        <w:rPr>
          <w:rFonts w:ascii="仿宋" w:eastAsia="仿宋" w:hAnsi="仿宋" w:cs="宋体"/>
          <w:kern w:val="0"/>
          <w:sz w:val="32"/>
          <w:szCs w:val="32"/>
        </w:rPr>
        <w:t>政府补贴是PPP项目常见收益组成部分，且补贴形式及补贴来源多样。在政府补贴处理的税收策划业务中，应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（一）政府补贴是否应税，是否满足税收优惠政策条件；</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 政府补贴在不同税种间适用税收政策的原则性判</w:t>
      </w:r>
      <w:r>
        <w:rPr>
          <w:rFonts w:ascii="仿宋" w:eastAsia="仿宋" w:hAnsi="仿宋" w:cs="宋体" w:hint="eastAsia"/>
          <w:kern w:val="0"/>
          <w:sz w:val="32"/>
          <w:szCs w:val="32"/>
        </w:rPr>
        <w:lastRenderedPageBreak/>
        <w:t>断；</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（三）政府补贴享受税收优惠政策的留存资料、前置条件、后续管理、内控制度的完善性；</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（四）政府补贴是否享受税收优惠政策对企业实际税收收益的影响差异性分析；</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其他影响政府补贴</w:t>
      </w:r>
      <w:r>
        <w:rPr>
          <w:rFonts w:ascii="仿宋" w:eastAsia="仿宋" w:hAnsi="仿宋" w:cs="宋体" w:hint="eastAsia"/>
          <w:kern w:val="0"/>
          <w:sz w:val="32"/>
          <w:szCs w:val="32"/>
        </w:rPr>
        <w:t>的</w:t>
      </w:r>
      <w:r>
        <w:rPr>
          <w:rFonts w:ascii="仿宋" w:eastAsia="仿宋" w:hAnsi="仿宋" w:cs="宋体"/>
          <w:kern w:val="0"/>
          <w:sz w:val="32"/>
          <w:szCs w:val="32"/>
        </w:rPr>
        <w:t>税收策划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第四十二条 </w:t>
      </w:r>
      <w:r>
        <w:rPr>
          <w:rFonts w:ascii="仿宋" w:eastAsia="仿宋" w:hAnsi="仿宋" w:cs="宋体"/>
          <w:kern w:val="0"/>
          <w:sz w:val="32"/>
          <w:szCs w:val="32"/>
        </w:rPr>
        <w:t>PPP项目因为实际业务形态及事项的差异，同一PPP项目常存在多种增值税应税项目。针对多业态并存同一项目公司的PPP项目，在税收策划业务中，应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（一）增值税应税事项的合同约定及增值税混合销售与兼营的判定；</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（二）不同类别增值税税目销售额判定原则的准确性；</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（三）不同类别增值税属地政策执行适用的准确性及集团企业一致性风险评估；</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（四）不同税目事项纳税义务发生等相关税制要素确认原则的准确性；</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其他适用税率及税目的</w:t>
      </w:r>
      <w:r>
        <w:rPr>
          <w:rFonts w:ascii="仿宋" w:eastAsia="仿宋" w:hAnsi="仿宋" w:cs="宋体" w:hint="eastAsia"/>
          <w:kern w:val="0"/>
          <w:sz w:val="32"/>
          <w:szCs w:val="32"/>
        </w:rPr>
        <w:t>税收</w:t>
      </w:r>
      <w:r>
        <w:rPr>
          <w:rFonts w:ascii="仿宋" w:eastAsia="仿宋" w:hAnsi="仿宋" w:cs="宋体"/>
          <w:kern w:val="0"/>
          <w:sz w:val="32"/>
          <w:szCs w:val="32"/>
        </w:rPr>
        <w:t>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第四十三条 </w:t>
      </w:r>
      <w:r>
        <w:rPr>
          <w:rFonts w:ascii="仿宋" w:eastAsia="仿宋" w:hAnsi="仿宋" w:cs="宋体" w:hint="eastAsia"/>
          <w:kern w:val="0"/>
          <w:sz w:val="32"/>
          <w:szCs w:val="32"/>
        </w:rPr>
        <w:t>试运行是PPP试运行的常见环节，</w:t>
      </w:r>
      <w:r>
        <w:rPr>
          <w:rFonts w:ascii="仿宋" w:eastAsia="仿宋" w:hAnsi="仿宋" w:cs="宋体"/>
          <w:kern w:val="0"/>
          <w:sz w:val="32"/>
          <w:szCs w:val="32"/>
        </w:rPr>
        <w:t>不同类型的PPP项目试运行阶段存在较大的差异，税会处理的策划可能对税务产生较大影响。针对试运行期间的税收策划，应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（一）试运行业务对企业享受税收优惠政策的影响因素；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（二）试运行环节应税事项及具体税制要素的综合判定；</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（三）试运行环节税会差异及其对税务风险的影响因素；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（四）试运行主体的差异对不同主体的收入成本匹配事项的影响因素；</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其他试运行期间税收策划的</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第四十四条 </w:t>
      </w:r>
      <w:r>
        <w:rPr>
          <w:rFonts w:ascii="仿宋" w:eastAsia="仿宋" w:hAnsi="仿宋" w:cs="宋体"/>
          <w:kern w:val="0"/>
          <w:sz w:val="32"/>
          <w:szCs w:val="32"/>
        </w:rPr>
        <w:t>PPP项目的资产及成本管理，当前</w:t>
      </w:r>
      <w:r>
        <w:rPr>
          <w:rFonts w:ascii="仿宋" w:eastAsia="仿宋" w:hAnsi="仿宋" w:cs="宋体" w:hint="eastAsia"/>
          <w:kern w:val="0"/>
          <w:sz w:val="32"/>
          <w:szCs w:val="32"/>
        </w:rPr>
        <w:t>由</w:t>
      </w:r>
      <w:r>
        <w:rPr>
          <w:rFonts w:ascii="仿宋" w:eastAsia="仿宋" w:hAnsi="仿宋" w:cs="宋体"/>
          <w:kern w:val="0"/>
          <w:sz w:val="32"/>
          <w:szCs w:val="32"/>
        </w:rPr>
        <w:t>于</w:t>
      </w:r>
      <w:proofErr w:type="gramStart"/>
      <w:r>
        <w:rPr>
          <w:rFonts w:ascii="仿宋" w:eastAsia="仿宋" w:hAnsi="仿宋" w:cs="宋体"/>
          <w:kern w:val="0"/>
          <w:sz w:val="32"/>
          <w:szCs w:val="32"/>
        </w:rPr>
        <w:t>不</w:t>
      </w:r>
      <w:proofErr w:type="gramEnd"/>
      <w:r>
        <w:rPr>
          <w:rFonts w:ascii="仿宋" w:eastAsia="仿宋" w:hAnsi="仿宋" w:cs="宋体"/>
          <w:kern w:val="0"/>
          <w:sz w:val="32"/>
          <w:szCs w:val="32"/>
        </w:rPr>
        <w:t>同业态、不同项目的实际业务模式差异及会计制度差异，其核算方法差异较大，由此</w:t>
      </w:r>
      <w:r>
        <w:rPr>
          <w:rFonts w:ascii="仿宋" w:eastAsia="仿宋" w:hAnsi="仿宋" w:cs="宋体" w:hint="eastAsia"/>
          <w:kern w:val="0"/>
          <w:sz w:val="32"/>
          <w:szCs w:val="32"/>
        </w:rPr>
        <w:t>产生</w:t>
      </w:r>
      <w:r>
        <w:rPr>
          <w:rFonts w:ascii="仿宋" w:eastAsia="仿宋" w:hAnsi="仿宋" w:cs="宋体"/>
          <w:kern w:val="0"/>
          <w:sz w:val="32"/>
          <w:szCs w:val="32"/>
        </w:rPr>
        <w:t>相对复杂的税会差异。针对资产及成本的税收策划，应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（一）会计准则及《企业会计准则解释第</w:t>
      </w:r>
      <w:r>
        <w:rPr>
          <w:rFonts w:ascii="仿宋" w:eastAsia="仿宋" w:hAnsi="仿宋" w:cs="宋体"/>
          <w:kern w:val="0"/>
          <w:sz w:val="32"/>
          <w:szCs w:val="32"/>
        </w:rPr>
        <w:t>14号》</w:t>
      </w:r>
      <w:r>
        <w:rPr>
          <w:rFonts w:ascii="仿宋" w:eastAsia="仿宋" w:hAnsi="仿宋" w:cs="宋体" w:hint="eastAsia"/>
          <w:kern w:val="0"/>
          <w:sz w:val="32"/>
          <w:szCs w:val="32"/>
        </w:rPr>
        <w:t>对P</w:t>
      </w:r>
      <w:r>
        <w:rPr>
          <w:rFonts w:ascii="仿宋" w:eastAsia="仿宋" w:hAnsi="仿宋" w:cs="宋体"/>
          <w:kern w:val="0"/>
          <w:sz w:val="32"/>
          <w:szCs w:val="32"/>
        </w:rPr>
        <w:t>PP</w:t>
      </w:r>
      <w:r>
        <w:rPr>
          <w:rFonts w:ascii="仿宋" w:eastAsia="仿宋" w:hAnsi="仿宋" w:cs="宋体" w:hint="eastAsia"/>
          <w:kern w:val="0"/>
          <w:sz w:val="32"/>
          <w:szCs w:val="32"/>
        </w:rPr>
        <w:t>项目合同资产核算方式（金融资产</w:t>
      </w:r>
      <w:r>
        <w:rPr>
          <w:rFonts w:ascii="仿宋" w:eastAsia="仿宋" w:hAnsi="仿宋" w:cs="宋体"/>
          <w:kern w:val="0"/>
          <w:sz w:val="32"/>
          <w:szCs w:val="32"/>
        </w:rPr>
        <w:t>/无形资产</w:t>
      </w:r>
      <w:r>
        <w:rPr>
          <w:rFonts w:ascii="仿宋" w:eastAsia="仿宋" w:hAnsi="仿宋" w:cs="宋体" w:hint="eastAsia"/>
          <w:kern w:val="0"/>
          <w:sz w:val="32"/>
          <w:szCs w:val="32"/>
        </w:rPr>
        <w:t>/混合资产）与企业所得税折旧、摊销</w:t>
      </w:r>
      <w:proofErr w:type="gramStart"/>
      <w:r>
        <w:rPr>
          <w:rFonts w:ascii="仿宋" w:eastAsia="仿宋" w:hAnsi="仿宋" w:cs="宋体" w:hint="eastAsia"/>
          <w:kern w:val="0"/>
          <w:sz w:val="32"/>
          <w:szCs w:val="32"/>
        </w:rPr>
        <w:t>间税会</w:t>
      </w:r>
      <w:proofErr w:type="gramEnd"/>
      <w:r>
        <w:rPr>
          <w:rFonts w:ascii="仿宋" w:eastAsia="仿宋" w:hAnsi="仿宋" w:cs="宋体" w:hint="eastAsia"/>
          <w:kern w:val="0"/>
          <w:sz w:val="32"/>
          <w:szCs w:val="32"/>
        </w:rPr>
        <w:t>差异的协调统一处理，着重关注金融资产核算方式下的税会差异；</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（二）属地针对PPP项目公司确认的资产</w:t>
      </w:r>
      <w:r>
        <w:rPr>
          <w:rFonts w:ascii="仿宋" w:eastAsia="仿宋" w:hAnsi="仿宋" w:cs="宋体"/>
          <w:kern w:val="0"/>
          <w:sz w:val="32"/>
          <w:szCs w:val="32"/>
        </w:rPr>
        <w:t>摊销方式及依据的</w:t>
      </w:r>
      <w:r>
        <w:rPr>
          <w:rFonts w:ascii="仿宋" w:eastAsia="仿宋" w:hAnsi="仿宋" w:cs="宋体" w:hint="eastAsia"/>
          <w:kern w:val="0"/>
          <w:sz w:val="32"/>
          <w:szCs w:val="32"/>
        </w:rPr>
        <w:t>地区性执行口径的</w:t>
      </w:r>
      <w:r>
        <w:rPr>
          <w:rFonts w:ascii="仿宋" w:eastAsia="仿宋" w:hAnsi="仿宋" w:cs="宋体"/>
          <w:kern w:val="0"/>
          <w:sz w:val="32"/>
          <w:szCs w:val="32"/>
        </w:rPr>
        <w:t>规定；</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（三）PPP项目公司确认的资产</w:t>
      </w:r>
      <w:r>
        <w:rPr>
          <w:rFonts w:ascii="仿宋" w:eastAsia="仿宋" w:hAnsi="仿宋" w:cs="宋体"/>
          <w:kern w:val="0"/>
          <w:sz w:val="32"/>
          <w:szCs w:val="32"/>
        </w:rPr>
        <w:t>投入使用时间，折旧、摊销起止日判定的确认准确性；</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（四）PPP项目公司确认的资产</w:t>
      </w:r>
      <w:r>
        <w:rPr>
          <w:rFonts w:ascii="仿宋" w:eastAsia="仿宋" w:hAnsi="仿宋" w:cs="宋体"/>
          <w:kern w:val="0"/>
          <w:sz w:val="32"/>
          <w:szCs w:val="32"/>
        </w:rPr>
        <w:t>及成本权责发生制以及与税务合</w:t>
      </w:r>
      <w:proofErr w:type="gramStart"/>
      <w:r>
        <w:rPr>
          <w:rFonts w:ascii="仿宋" w:eastAsia="仿宋" w:hAnsi="仿宋" w:cs="宋体"/>
          <w:kern w:val="0"/>
          <w:sz w:val="32"/>
          <w:szCs w:val="32"/>
        </w:rPr>
        <w:t>规</w:t>
      </w:r>
      <w:proofErr w:type="gramEnd"/>
      <w:r>
        <w:rPr>
          <w:rFonts w:ascii="仿宋" w:eastAsia="仿宋" w:hAnsi="仿宋" w:cs="宋体"/>
          <w:kern w:val="0"/>
          <w:sz w:val="32"/>
          <w:szCs w:val="32"/>
        </w:rPr>
        <w:t>层面的税会差异分析；</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其他资产及成本管理</w:t>
      </w:r>
      <w:r>
        <w:rPr>
          <w:rFonts w:ascii="仿宋" w:eastAsia="仿宋" w:hAnsi="仿宋" w:cs="宋体" w:hint="eastAsia"/>
          <w:kern w:val="0"/>
          <w:sz w:val="32"/>
          <w:szCs w:val="32"/>
        </w:rPr>
        <w:t>的</w:t>
      </w:r>
      <w:r>
        <w:rPr>
          <w:rFonts w:ascii="仿宋" w:eastAsia="仿宋" w:hAnsi="仿宋" w:cs="宋体"/>
          <w:kern w:val="0"/>
          <w:sz w:val="32"/>
          <w:szCs w:val="32"/>
        </w:rPr>
        <w:t>税收策划</w:t>
      </w:r>
      <w:r>
        <w:rPr>
          <w:rFonts w:ascii="仿宋" w:eastAsia="仿宋" w:hAnsi="仿宋" w:cs="宋体" w:hint="eastAsia"/>
          <w:kern w:val="0"/>
          <w:sz w:val="32"/>
          <w:szCs w:val="32"/>
        </w:rPr>
        <w:t>因</w:t>
      </w:r>
      <w:r>
        <w:rPr>
          <w:rFonts w:ascii="仿宋" w:eastAsia="仿宋" w:hAnsi="仿宋" w:cs="宋体"/>
          <w:kern w:val="0"/>
          <w:sz w:val="32"/>
          <w:szCs w:val="32"/>
        </w:rPr>
        <w:t>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第四十五条 </w:t>
      </w:r>
      <w:r>
        <w:rPr>
          <w:rFonts w:ascii="仿宋" w:eastAsia="仿宋" w:hAnsi="仿宋" w:cs="宋体"/>
          <w:kern w:val="0"/>
          <w:sz w:val="32"/>
          <w:szCs w:val="32"/>
        </w:rPr>
        <w:t>PPP项目移交阶段税收策划</w:t>
      </w:r>
      <w:r>
        <w:rPr>
          <w:rFonts w:ascii="仿宋" w:eastAsia="仿宋" w:hAnsi="仿宋" w:cs="宋体" w:hint="eastAsia"/>
          <w:kern w:val="0"/>
          <w:sz w:val="32"/>
          <w:szCs w:val="32"/>
        </w:rPr>
        <w:t>应重点关注以下</w:t>
      </w:r>
      <w:r>
        <w:rPr>
          <w:rFonts w:ascii="仿宋" w:eastAsia="仿宋" w:hAnsi="仿宋" w:cs="宋体" w:hint="eastAsia"/>
          <w:kern w:val="0"/>
          <w:sz w:val="32"/>
          <w:szCs w:val="32"/>
        </w:rPr>
        <w:lastRenderedPageBreak/>
        <w:t>事项</w:t>
      </w:r>
      <w:r>
        <w:rPr>
          <w:rFonts w:ascii="仿宋" w:eastAsia="仿宋" w:hAnsi="仿宋" w:cs="宋体"/>
          <w:kern w:val="0"/>
          <w:sz w:val="32"/>
          <w:szCs w:val="32"/>
        </w:rPr>
        <w:t>：</w:t>
      </w:r>
      <w:r>
        <w:rPr>
          <w:rFonts w:ascii="仿宋" w:eastAsia="仿宋" w:hAnsi="仿宋" w:cs="宋体" w:hint="eastAsia"/>
          <w:kern w:val="0"/>
          <w:sz w:val="32"/>
          <w:szCs w:val="32"/>
        </w:rPr>
        <w:t>项目到期资产无偿移交、股权无偿移交,项目到期或未到期资产移交、</w:t>
      </w:r>
      <w:r>
        <w:rPr>
          <w:rFonts w:ascii="仿宋" w:eastAsia="仿宋" w:hAnsi="仿宋" w:cs="宋体"/>
          <w:kern w:val="0"/>
          <w:sz w:val="32"/>
          <w:szCs w:val="32"/>
        </w:rPr>
        <w:t>股权转让、项目公司其他形式。</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第四十六条 </w:t>
      </w:r>
      <w:r>
        <w:rPr>
          <w:rFonts w:ascii="仿宋" w:eastAsia="仿宋" w:hAnsi="仿宋" w:cs="宋体" w:hint="eastAsia"/>
          <w:kern w:val="0"/>
          <w:sz w:val="32"/>
          <w:szCs w:val="32"/>
        </w:rPr>
        <w:t>基于P</w:t>
      </w:r>
      <w:r>
        <w:rPr>
          <w:rFonts w:ascii="仿宋" w:eastAsia="仿宋" w:hAnsi="仿宋" w:cs="宋体"/>
          <w:kern w:val="0"/>
          <w:sz w:val="32"/>
          <w:szCs w:val="32"/>
        </w:rPr>
        <w:t>PP</w:t>
      </w:r>
      <w:r>
        <w:rPr>
          <w:rFonts w:ascii="仿宋" w:eastAsia="仿宋" w:hAnsi="仿宋" w:cs="宋体" w:hint="eastAsia"/>
          <w:kern w:val="0"/>
          <w:sz w:val="32"/>
          <w:szCs w:val="32"/>
        </w:rPr>
        <w:t>合同一般确认项目及资产的归属原则上系政府所有，但实务中具体的产权、票据的持有方均为项目公司名义。因此将面临P</w:t>
      </w:r>
      <w:r>
        <w:rPr>
          <w:rFonts w:ascii="仿宋" w:eastAsia="仿宋" w:hAnsi="仿宋" w:cs="宋体"/>
          <w:kern w:val="0"/>
          <w:sz w:val="32"/>
          <w:szCs w:val="32"/>
        </w:rPr>
        <w:t>PP</w:t>
      </w:r>
      <w:r>
        <w:rPr>
          <w:rFonts w:ascii="仿宋" w:eastAsia="仿宋" w:hAnsi="仿宋" w:cs="宋体" w:hint="eastAsia"/>
          <w:kern w:val="0"/>
          <w:sz w:val="32"/>
          <w:szCs w:val="32"/>
        </w:rPr>
        <w:t>项目特许经营到期后，资产无偿移交成为</w:t>
      </w:r>
      <w:r>
        <w:rPr>
          <w:rFonts w:ascii="仿宋" w:eastAsia="仿宋" w:hAnsi="仿宋" w:cs="宋体"/>
          <w:kern w:val="0"/>
          <w:sz w:val="32"/>
          <w:szCs w:val="32"/>
        </w:rPr>
        <w:t>属地政府部门首选的移交方式。</w:t>
      </w:r>
      <w:r>
        <w:rPr>
          <w:rFonts w:ascii="仿宋" w:eastAsia="仿宋" w:hAnsi="仿宋" w:cs="宋体" w:hint="eastAsia"/>
          <w:kern w:val="0"/>
          <w:sz w:val="32"/>
          <w:szCs w:val="32"/>
        </w:rPr>
        <w:t>在资产移交过程中，业务实质系政府收回自有资产，但从法律和税务形式角度，则属于项目公司将资产无偿移交至政府或政府指定的第三方，从而产生对应的税务事项。</w:t>
      </w:r>
      <w:r>
        <w:rPr>
          <w:rFonts w:ascii="仿宋" w:eastAsia="仿宋" w:hAnsi="仿宋" w:cs="宋体"/>
          <w:kern w:val="0"/>
          <w:sz w:val="32"/>
          <w:szCs w:val="32"/>
        </w:rPr>
        <w:t>针对资产到期无偿移交的税收策划，应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（一）资产无偿移交的范畴和形式，以及是否满足特殊税收优惠政策的条件；</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（二）资产无偿移交的应税事项及范畴的确认；</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（三）资产无偿移交的应税项目税制要素（包括但不限于税目、税率、纳税义务发生时间等）的判定；</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（四）资产无偿移交后项目公司后续管理事项及税务风险判定；</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（五）其他资产无偿移交的税收策划因素。</w:t>
      </w:r>
    </w:p>
    <w:p w:rsidR="00E85C6B" w:rsidRDefault="00DC32A0">
      <w:pPr>
        <w:autoSpaceDE w:val="0"/>
        <w:autoSpaceDN w:val="0"/>
        <w:spacing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第四十七条 </w:t>
      </w:r>
      <w:r>
        <w:rPr>
          <w:rFonts w:ascii="仿宋" w:eastAsia="仿宋" w:hAnsi="仿宋" w:cs="宋体" w:hint="eastAsia"/>
          <w:kern w:val="0"/>
          <w:sz w:val="32"/>
          <w:szCs w:val="32"/>
        </w:rPr>
        <w:t>资产到期有偿移交，或未到期移交资产，地方政府或地方政府指定主体给予补偿，是当前部分特殊情形</w:t>
      </w:r>
      <w:r>
        <w:rPr>
          <w:rFonts w:ascii="仿宋" w:eastAsia="仿宋" w:hAnsi="仿宋" w:cs="宋体"/>
          <w:kern w:val="0"/>
          <w:sz w:val="32"/>
          <w:szCs w:val="32"/>
        </w:rPr>
        <w:t>PPP项目选择的方式。针对该种类型的退出税收策划，应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（一）拟移交资产历史成本及计税基础确认的准确性；</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（二）资产移交价格公允性确认的准确性； </w:t>
      </w:r>
    </w:p>
    <w:p w:rsidR="00E85C6B" w:rsidRDefault="00DC32A0">
      <w:pPr>
        <w:autoSpaceDE w:val="0"/>
        <w:autoSpaceDN w:val="0"/>
        <w:spacing w:line="360" w:lineRule="auto"/>
        <w:ind w:leftChars="300" w:left="630"/>
        <w:jc w:val="left"/>
        <w:rPr>
          <w:rFonts w:ascii="仿宋" w:eastAsia="仿宋" w:hAnsi="仿宋" w:cs="宋体"/>
          <w:kern w:val="0"/>
          <w:sz w:val="32"/>
          <w:szCs w:val="32"/>
        </w:rPr>
      </w:pPr>
      <w:r>
        <w:rPr>
          <w:rFonts w:ascii="仿宋" w:eastAsia="仿宋" w:hAnsi="仿宋" w:cs="宋体" w:hint="eastAsia"/>
          <w:kern w:val="0"/>
          <w:sz w:val="32"/>
          <w:szCs w:val="32"/>
        </w:rPr>
        <w:t>（三）资产移交过程是否满足税收优惠政策的条件；</w:t>
      </w:r>
    </w:p>
    <w:p w:rsidR="00E85C6B" w:rsidRDefault="00DC32A0">
      <w:pPr>
        <w:autoSpaceDE w:val="0"/>
        <w:autoSpaceDN w:val="0"/>
        <w:spacing w:line="360" w:lineRule="auto"/>
        <w:ind w:left="10" w:firstLineChars="193" w:firstLine="618"/>
        <w:jc w:val="left"/>
        <w:rPr>
          <w:rFonts w:ascii="仿宋" w:eastAsia="仿宋" w:hAnsi="仿宋" w:cs="宋体"/>
          <w:kern w:val="0"/>
          <w:sz w:val="32"/>
          <w:szCs w:val="32"/>
        </w:rPr>
      </w:pPr>
      <w:r>
        <w:rPr>
          <w:rFonts w:ascii="仿宋" w:eastAsia="仿宋" w:hAnsi="仿宋" w:cs="宋体" w:hint="eastAsia"/>
          <w:kern w:val="0"/>
          <w:sz w:val="32"/>
          <w:szCs w:val="32"/>
        </w:rPr>
        <w:t>（四）资产移交过程中涉及的特殊定价安排（如需要进行评估等手段）的风险提示；</w:t>
      </w:r>
    </w:p>
    <w:p w:rsidR="00E85C6B" w:rsidRDefault="00DC32A0">
      <w:pPr>
        <w:autoSpaceDE w:val="0"/>
        <w:autoSpaceDN w:val="0"/>
        <w:spacing w:line="360" w:lineRule="auto"/>
        <w:ind w:leftChars="300" w:left="630"/>
        <w:jc w:val="left"/>
        <w:rPr>
          <w:rFonts w:ascii="仿宋" w:eastAsia="仿宋" w:hAnsi="仿宋" w:cs="宋体"/>
          <w:kern w:val="0"/>
          <w:sz w:val="32"/>
          <w:szCs w:val="32"/>
        </w:rPr>
      </w:pPr>
      <w:r>
        <w:rPr>
          <w:rFonts w:ascii="仿宋" w:eastAsia="仿宋" w:hAnsi="仿宋" w:cs="宋体" w:hint="eastAsia"/>
          <w:kern w:val="0"/>
          <w:sz w:val="32"/>
          <w:szCs w:val="32"/>
        </w:rPr>
        <w:t>（五）资产移交过程中实际税目、税率确认准确性；</w:t>
      </w:r>
    </w:p>
    <w:p w:rsidR="00E85C6B" w:rsidRDefault="00DC32A0">
      <w:pPr>
        <w:autoSpaceDE w:val="0"/>
        <w:autoSpaceDN w:val="0"/>
        <w:spacing w:line="360" w:lineRule="auto"/>
        <w:ind w:leftChars="300" w:left="630"/>
        <w:jc w:val="left"/>
        <w:rPr>
          <w:rFonts w:ascii="仿宋" w:eastAsia="仿宋" w:hAnsi="仿宋" w:cs="宋体"/>
          <w:kern w:val="0"/>
          <w:sz w:val="32"/>
          <w:szCs w:val="32"/>
        </w:rPr>
      </w:pPr>
      <w:r>
        <w:rPr>
          <w:rFonts w:ascii="仿宋" w:eastAsia="仿宋" w:hAnsi="仿宋" w:cs="宋体" w:hint="eastAsia"/>
          <w:kern w:val="0"/>
          <w:sz w:val="32"/>
          <w:szCs w:val="32"/>
        </w:rPr>
        <w:t>（六）多种类、多数量资产移交过程中的价格确认准确性；</w:t>
      </w:r>
    </w:p>
    <w:p w:rsidR="00E85C6B" w:rsidRDefault="00DC32A0">
      <w:pPr>
        <w:autoSpaceDE w:val="0"/>
        <w:autoSpaceDN w:val="0"/>
        <w:spacing w:line="360" w:lineRule="auto"/>
        <w:ind w:left="10" w:firstLineChars="193" w:firstLine="618"/>
        <w:jc w:val="left"/>
        <w:rPr>
          <w:rFonts w:ascii="仿宋" w:eastAsia="仿宋" w:hAnsi="仿宋" w:cs="宋体"/>
          <w:kern w:val="0"/>
          <w:sz w:val="32"/>
          <w:szCs w:val="32"/>
        </w:rPr>
      </w:pPr>
      <w:r>
        <w:rPr>
          <w:rFonts w:ascii="仿宋" w:eastAsia="仿宋" w:hAnsi="仿宋" w:cs="宋体" w:hint="eastAsia"/>
          <w:kern w:val="0"/>
          <w:sz w:val="32"/>
          <w:szCs w:val="32"/>
        </w:rPr>
        <w:t>（七）其他资产到期有偿移交或未到期移交的税收策划因素。</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第四十八条 </w:t>
      </w:r>
      <w:r>
        <w:rPr>
          <w:rFonts w:ascii="仿宋" w:eastAsia="仿宋" w:hAnsi="仿宋" w:cs="宋体"/>
          <w:kern w:val="0"/>
          <w:sz w:val="32"/>
          <w:szCs w:val="32"/>
        </w:rPr>
        <w:t>PPP项目到期股权无偿转让、</w:t>
      </w:r>
      <w:r>
        <w:rPr>
          <w:rFonts w:ascii="仿宋" w:eastAsia="仿宋" w:hAnsi="仿宋" w:cs="宋体" w:hint="eastAsia"/>
          <w:kern w:val="0"/>
          <w:sz w:val="32"/>
          <w:szCs w:val="32"/>
        </w:rPr>
        <w:t>有</w:t>
      </w:r>
      <w:r>
        <w:rPr>
          <w:rFonts w:ascii="仿宋" w:eastAsia="仿宋" w:hAnsi="仿宋" w:cs="宋体"/>
          <w:kern w:val="0"/>
          <w:sz w:val="32"/>
          <w:szCs w:val="32"/>
        </w:rPr>
        <w:t>偿转让或未到期有偿转让，是PPP项目退出的另一种主要方式。针对股权转让方式退出的PPP项目税收策划，应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leftChars="-64" w:left="-134"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（一）拟退出股权计税基础确认准确性；</w:t>
      </w:r>
    </w:p>
    <w:p w:rsidR="00E85C6B" w:rsidRDefault="00DC32A0">
      <w:pPr>
        <w:autoSpaceDE w:val="0"/>
        <w:autoSpaceDN w:val="0"/>
        <w:spacing w:line="360" w:lineRule="auto"/>
        <w:ind w:leftChars="-64" w:left="-134"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（二）股权退出的合同签署税务事项合</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性分析；</w:t>
      </w:r>
    </w:p>
    <w:p w:rsidR="00E85C6B" w:rsidRDefault="00DC32A0">
      <w:pPr>
        <w:autoSpaceDE w:val="0"/>
        <w:autoSpaceDN w:val="0"/>
        <w:spacing w:line="360" w:lineRule="auto"/>
        <w:ind w:firstLineChars="152" w:firstLine="486"/>
        <w:jc w:val="left"/>
        <w:rPr>
          <w:rFonts w:ascii="仿宋" w:eastAsia="仿宋" w:hAnsi="仿宋" w:cs="宋体"/>
          <w:kern w:val="0"/>
          <w:sz w:val="32"/>
          <w:szCs w:val="32"/>
        </w:rPr>
      </w:pPr>
      <w:r>
        <w:rPr>
          <w:rFonts w:ascii="仿宋" w:eastAsia="仿宋" w:hAnsi="仿宋" w:cs="宋体" w:hint="eastAsia"/>
          <w:kern w:val="0"/>
          <w:sz w:val="32"/>
          <w:szCs w:val="32"/>
        </w:rPr>
        <w:t>（三）股权转让价格确认与税收规定的匹配度分析；</w:t>
      </w:r>
    </w:p>
    <w:p w:rsidR="00E85C6B" w:rsidRDefault="00DC32A0">
      <w:pPr>
        <w:autoSpaceDE w:val="0"/>
        <w:autoSpaceDN w:val="0"/>
        <w:spacing w:line="360" w:lineRule="auto"/>
        <w:ind w:firstLineChars="152" w:firstLine="486"/>
        <w:jc w:val="left"/>
        <w:rPr>
          <w:rFonts w:ascii="仿宋" w:eastAsia="仿宋" w:hAnsi="仿宋" w:cs="宋体"/>
          <w:kern w:val="0"/>
          <w:sz w:val="32"/>
          <w:szCs w:val="32"/>
        </w:rPr>
      </w:pPr>
      <w:r>
        <w:rPr>
          <w:rFonts w:ascii="仿宋" w:eastAsia="仿宋" w:hAnsi="仿宋" w:cs="宋体" w:hint="eastAsia"/>
          <w:kern w:val="0"/>
          <w:sz w:val="32"/>
          <w:szCs w:val="32"/>
        </w:rPr>
        <w:t>（四）其他股权转让的税收策划因素。</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第四十九条 </w:t>
      </w:r>
      <w:r>
        <w:rPr>
          <w:rFonts w:ascii="仿宋" w:eastAsia="仿宋" w:hAnsi="仿宋" w:cs="宋体"/>
          <w:kern w:val="0"/>
          <w:sz w:val="32"/>
          <w:szCs w:val="32"/>
        </w:rPr>
        <w:t>项目公司其他形式退出</w:t>
      </w:r>
      <w:r>
        <w:rPr>
          <w:rFonts w:ascii="仿宋" w:eastAsia="仿宋" w:hAnsi="仿宋" w:cs="宋体" w:hint="eastAsia"/>
          <w:kern w:val="0"/>
          <w:sz w:val="32"/>
          <w:szCs w:val="32"/>
        </w:rPr>
        <w:t>，如</w:t>
      </w:r>
      <w:r>
        <w:rPr>
          <w:rFonts w:ascii="仿宋" w:eastAsia="仿宋" w:hAnsi="仿宋" w:cs="宋体"/>
          <w:kern w:val="0"/>
          <w:sz w:val="32"/>
          <w:szCs w:val="32"/>
        </w:rPr>
        <w:t>PPP项目属于无残值类项目等情况，特殊情况下采取清算退出等方式结束PPP项目公司的运营。在除上述常见项目退出方式以外的退出税收策划方面，应</w:t>
      </w:r>
      <w:r>
        <w:rPr>
          <w:rFonts w:ascii="仿宋" w:eastAsia="仿宋" w:hAnsi="仿宋" w:cs="宋体" w:hint="eastAsia"/>
          <w:kern w:val="0"/>
          <w:sz w:val="32"/>
          <w:szCs w:val="32"/>
        </w:rPr>
        <w:t>当</w:t>
      </w:r>
      <w:r>
        <w:rPr>
          <w:rFonts w:ascii="仿宋" w:eastAsia="仿宋" w:hAnsi="仿宋" w:cs="宋体"/>
          <w:kern w:val="0"/>
          <w:sz w:val="32"/>
          <w:szCs w:val="32"/>
        </w:rPr>
        <w:t>重点关注以下事项：</w:t>
      </w:r>
    </w:p>
    <w:p w:rsidR="00E85C6B" w:rsidRDefault="00DC32A0">
      <w:pPr>
        <w:autoSpaceDE w:val="0"/>
        <w:autoSpaceDN w:val="0"/>
        <w:spacing w:line="360" w:lineRule="auto"/>
        <w:ind w:leftChars="-64" w:left="-134"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（一）退出过程中资产、股权、债权转让及划转过程中面</w:t>
      </w:r>
      <w:r>
        <w:rPr>
          <w:rFonts w:ascii="仿宋" w:eastAsia="仿宋" w:hAnsi="仿宋" w:cs="宋体" w:hint="eastAsia"/>
          <w:kern w:val="0"/>
          <w:sz w:val="32"/>
          <w:szCs w:val="32"/>
        </w:rPr>
        <w:lastRenderedPageBreak/>
        <w:t>临的计税基础确认的准确性；</w:t>
      </w:r>
    </w:p>
    <w:p w:rsidR="00E85C6B" w:rsidRDefault="00DC32A0">
      <w:pPr>
        <w:autoSpaceDE w:val="0"/>
        <w:autoSpaceDN w:val="0"/>
        <w:spacing w:line="360" w:lineRule="auto"/>
        <w:ind w:leftChars="-64" w:left="-134"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（二）退出过程中资产、股权、债权转让及划转过程中引发的应税行为及利得损失等事项确认的准确性；</w:t>
      </w:r>
    </w:p>
    <w:p w:rsidR="00E85C6B" w:rsidRDefault="00DC32A0">
      <w:pPr>
        <w:autoSpaceDE w:val="0"/>
        <w:autoSpaceDN w:val="0"/>
        <w:spacing w:line="360" w:lineRule="auto"/>
        <w:ind w:leftChars="192" w:left="403" w:firstLine="15"/>
        <w:jc w:val="left"/>
        <w:rPr>
          <w:rFonts w:ascii="仿宋" w:eastAsia="仿宋" w:hAnsi="仿宋" w:cs="宋体"/>
          <w:kern w:val="0"/>
          <w:sz w:val="32"/>
          <w:szCs w:val="32"/>
        </w:rPr>
      </w:pPr>
      <w:r>
        <w:rPr>
          <w:rFonts w:ascii="仿宋" w:eastAsia="仿宋" w:hAnsi="仿宋" w:cs="宋体" w:hint="eastAsia"/>
          <w:kern w:val="0"/>
          <w:sz w:val="32"/>
          <w:szCs w:val="32"/>
        </w:rPr>
        <w:t>（三）退出过程中税收优惠政策享受的可行性及政策适用</w:t>
      </w:r>
    </w:p>
    <w:p w:rsidR="00E85C6B" w:rsidRDefault="00DC32A0">
      <w:pPr>
        <w:autoSpaceDE w:val="0"/>
        <w:autoSpaceDN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的准确性；</w:t>
      </w:r>
    </w:p>
    <w:p w:rsidR="00E85C6B" w:rsidRDefault="00DC32A0">
      <w:pPr>
        <w:autoSpaceDE w:val="0"/>
        <w:autoSpaceDN w:val="0"/>
        <w:spacing w:line="360" w:lineRule="auto"/>
        <w:ind w:leftChars="193" w:left="406" w:hanging="1"/>
        <w:jc w:val="left"/>
        <w:rPr>
          <w:rFonts w:ascii="仿宋" w:eastAsia="仿宋" w:hAnsi="仿宋" w:cs="宋体"/>
          <w:kern w:val="0"/>
          <w:sz w:val="32"/>
          <w:szCs w:val="32"/>
        </w:rPr>
      </w:pPr>
      <w:r>
        <w:rPr>
          <w:rFonts w:ascii="仿宋" w:eastAsia="仿宋" w:hAnsi="仿宋" w:cs="宋体" w:hint="eastAsia"/>
          <w:kern w:val="0"/>
          <w:sz w:val="32"/>
          <w:szCs w:val="32"/>
        </w:rPr>
        <w:t>（四）其他退出环节的税收策划因素。</w:t>
      </w:r>
    </w:p>
    <w:p w:rsidR="00E85C6B" w:rsidRDefault="00DC32A0">
      <w:pPr>
        <w:autoSpaceDE w:val="0"/>
        <w:autoSpaceDN w:val="0"/>
        <w:spacing w:line="360" w:lineRule="auto"/>
        <w:jc w:val="center"/>
        <w:outlineLvl w:val="1"/>
        <w:rPr>
          <w:rFonts w:ascii="仿宋" w:eastAsia="仿宋" w:hAnsi="仿宋" w:cs="宋体"/>
          <w:b/>
          <w:kern w:val="0"/>
          <w:sz w:val="32"/>
          <w:szCs w:val="32"/>
        </w:rPr>
      </w:pPr>
      <w:r>
        <w:rPr>
          <w:rFonts w:ascii="仿宋" w:eastAsia="仿宋" w:hAnsi="仿宋" w:cs="宋体" w:hint="eastAsia"/>
          <w:b/>
          <w:kern w:val="0"/>
          <w:sz w:val="32"/>
          <w:szCs w:val="32"/>
        </w:rPr>
        <w:t>第四节</w:t>
      </w:r>
      <w:r>
        <w:rPr>
          <w:rFonts w:ascii="仿宋" w:eastAsia="仿宋" w:hAnsi="仿宋" w:cs="宋体"/>
          <w:b/>
          <w:kern w:val="0"/>
          <w:sz w:val="32"/>
          <w:szCs w:val="32"/>
        </w:rPr>
        <w:t xml:space="preserve"> 方案数据测算及对比评价</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第五十条 </w:t>
      </w:r>
      <w:r>
        <w:rPr>
          <w:rFonts w:ascii="仿宋" w:eastAsia="仿宋" w:hAnsi="仿宋" w:cs="宋体" w:hint="eastAsia"/>
          <w:kern w:val="0"/>
          <w:sz w:val="32"/>
          <w:szCs w:val="32"/>
        </w:rPr>
        <w:t>涉税服务人员根据策划方案，设置评价方案的测算指标、测算参数和测算口径，形成测算结果，以便对各个方案进行量化评价。</w:t>
      </w:r>
    </w:p>
    <w:p w:rsidR="00E85C6B" w:rsidRDefault="00DC32A0">
      <w:pPr>
        <w:autoSpaceDE w:val="0"/>
        <w:autoSpaceDN w:val="0"/>
        <w:spacing w:line="360" w:lineRule="auto"/>
        <w:ind w:leftChars="-64" w:left="-134"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在测算过程中应就测算指标、测算方法、测算参数与口径与委托人进行沟通，并按照对委托人的重要程度有侧重地进行测算与分析。</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第五十一条 </w:t>
      </w:r>
      <w:r>
        <w:rPr>
          <w:rFonts w:ascii="仿宋" w:eastAsia="仿宋" w:hAnsi="仿宋" w:cs="宋体" w:hint="eastAsia"/>
          <w:kern w:val="0"/>
          <w:sz w:val="32"/>
          <w:szCs w:val="32"/>
        </w:rPr>
        <w:t>税收策划方案中，实际税收策划的结果性数据，应严格从委托人</w:t>
      </w:r>
      <w:proofErr w:type="gramStart"/>
      <w:r>
        <w:rPr>
          <w:rFonts w:ascii="仿宋" w:eastAsia="仿宋" w:hAnsi="仿宋" w:cs="宋体" w:hint="eastAsia"/>
          <w:kern w:val="0"/>
          <w:sz w:val="32"/>
          <w:szCs w:val="32"/>
        </w:rPr>
        <w:t>账载及</w:t>
      </w:r>
      <w:proofErr w:type="gramEnd"/>
      <w:r>
        <w:rPr>
          <w:rFonts w:ascii="仿宋" w:eastAsia="仿宋" w:hAnsi="仿宋" w:cs="宋体" w:hint="eastAsia"/>
          <w:kern w:val="0"/>
          <w:sz w:val="32"/>
          <w:szCs w:val="32"/>
        </w:rPr>
        <w:t>实际财税数据中提取，以确保税收策划成果的数据来源及基础的准确性。</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第五十二条 </w:t>
      </w:r>
      <w:r>
        <w:rPr>
          <w:rFonts w:ascii="仿宋" w:eastAsia="仿宋" w:hAnsi="仿宋" w:cs="宋体"/>
          <w:kern w:val="0"/>
          <w:sz w:val="32"/>
          <w:szCs w:val="32"/>
        </w:rPr>
        <w:t>在提交至委托人税收策划成果环节，</w:t>
      </w:r>
      <w:r>
        <w:rPr>
          <w:rFonts w:ascii="仿宋" w:eastAsia="仿宋" w:hAnsi="仿宋" w:cs="宋体" w:hint="eastAsia"/>
          <w:kern w:val="0"/>
          <w:sz w:val="32"/>
          <w:szCs w:val="32"/>
        </w:rPr>
        <w:t>涉税服务人员</w:t>
      </w:r>
      <w:r>
        <w:rPr>
          <w:rFonts w:ascii="仿宋" w:eastAsia="仿宋" w:hAnsi="仿宋" w:cs="宋体"/>
          <w:kern w:val="0"/>
          <w:sz w:val="32"/>
          <w:szCs w:val="32"/>
        </w:rPr>
        <w:t>应与委托人共同就策划结果中的各环节业务数据、策划成果性数据进行综合评估。该评估包括但不限于真实性、合法性、合理性、准确性及可行性评估。</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第五十三条 </w:t>
      </w:r>
      <w:r>
        <w:rPr>
          <w:rFonts w:ascii="仿宋" w:eastAsia="仿宋" w:hAnsi="仿宋" w:cs="宋体" w:hint="eastAsia"/>
          <w:kern w:val="0"/>
          <w:sz w:val="32"/>
          <w:szCs w:val="32"/>
        </w:rPr>
        <w:t>在包括实施环节的税收策划服务中，应重点与委托人共同就实施成果进行量化分析，特别是对实施过程中</w:t>
      </w:r>
      <w:r>
        <w:rPr>
          <w:rFonts w:ascii="仿宋" w:eastAsia="仿宋" w:hAnsi="仿宋" w:cs="宋体" w:hint="eastAsia"/>
          <w:kern w:val="0"/>
          <w:sz w:val="32"/>
          <w:szCs w:val="32"/>
        </w:rPr>
        <w:lastRenderedPageBreak/>
        <w:t>的策划方案及方法的调整，进行策划成果量化综合分析。</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第五十四条 </w:t>
      </w:r>
      <w:r>
        <w:rPr>
          <w:rFonts w:ascii="仿宋" w:eastAsia="仿宋" w:hAnsi="仿宋" w:cs="宋体" w:hint="eastAsia"/>
          <w:kern w:val="0"/>
          <w:sz w:val="32"/>
          <w:szCs w:val="32"/>
        </w:rPr>
        <w:t>在项目最终完成环节，应重点与委托人共同就项目的实施情况、实施结果、实施质量进行综合评价，并将评价成果作为项目留存档案的组成部分。</w:t>
      </w:r>
    </w:p>
    <w:p w:rsidR="00E85C6B" w:rsidRDefault="00DC32A0">
      <w:pPr>
        <w:autoSpaceDE w:val="0"/>
        <w:autoSpaceDN w:val="0"/>
        <w:spacing w:line="360" w:lineRule="auto"/>
        <w:ind w:leftChars="-64" w:left="-134"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第五十五条 </w:t>
      </w:r>
      <w:r>
        <w:rPr>
          <w:rFonts w:ascii="仿宋" w:eastAsia="仿宋" w:hAnsi="仿宋" w:cs="宋体"/>
          <w:kern w:val="0"/>
          <w:sz w:val="32"/>
          <w:szCs w:val="32"/>
        </w:rPr>
        <w:t>方案评价是涉税服务人员及委托人共同从多维度评价和分析策划方案的过程，体现服务成果的专业、客观及谨慎，通过辩证方法展示不同策划方案的优势及不足，包</w:t>
      </w:r>
      <w:r>
        <w:rPr>
          <w:rFonts w:ascii="仿宋" w:eastAsia="仿宋" w:hAnsi="仿宋" w:cs="宋体" w:hint="eastAsia"/>
          <w:kern w:val="0"/>
          <w:sz w:val="32"/>
          <w:szCs w:val="32"/>
        </w:rPr>
        <w:t>括</w:t>
      </w:r>
      <w:r>
        <w:rPr>
          <w:rFonts w:ascii="仿宋" w:eastAsia="仿宋" w:hAnsi="仿宋" w:cs="宋体"/>
          <w:kern w:val="0"/>
          <w:sz w:val="32"/>
          <w:szCs w:val="32"/>
        </w:rPr>
        <w:t>但不限于以下内容：</w:t>
      </w:r>
    </w:p>
    <w:p w:rsidR="00E85C6B" w:rsidRDefault="00DC32A0">
      <w:pPr>
        <w:autoSpaceDE w:val="0"/>
        <w:autoSpaceDN w:val="0"/>
        <w:spacing w:line="360" w:lineRule="auto"/>
        <w:ind w:firstLineChars="200" w:firstLine="640"/>
        <w:jc w:val="left"/>
        <w:outlineLvl w:val="2"/>
        <w:rPr>
          <w:rFonts w:ascii="仿宋" w:eastAsia="仿宋" w:hAnsi="仿宋" w:cs="宋体"/>
          <w:kern w:val="0"/>
          <w:sz w:val="32"/>
          <w:szCs w:val="32"/>
        </w:rPr>
      </w:pPr>
      <w:r>
        <w:rPr>
          <w:rFonts w:ascii="仿宋" w:eastAsia="仿宋" w:hAnsi="仿宋" w:cs="宋体" w:hint="eastAsia"/>
          <w:kern w:val="0"/>
          <w:sz w:val="32"/>
          <w:szCs w:val="32"/>
        </w:rPr>
        <w:t>（一）分析政策适用性</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根据政策法规解读成果，评价各个策划方案的适用性，分析其适用差距及贴合方法，突出税收政策适用性的风险评价。</w:t>
      </w:r>
    </w:p>
    <w:p w:rsidR="00E85C6B" w:rsidRDefault="00DC32A0">
      <w:pPr>
        <w:autoSpaceDE w:val="0"/>
        <w:autoSpaceDN w:val="0"/>
        <w:spacing w:line="360" w:lineRule="auto"/>
        <w:ind w:firstLineChars="200" w:firstLine="640"/>
        <w:jc w:val="left"/>
        <w:outlineLvl w:val="2"/>
        <w:rPr>
          <w:rFonts w:ascii="仿宋" w:eastAsia="仿宋" w:hAnsi="仿宋" w:cs="宋体"/>
          <w:kern w:val="0"/>
          <w:sz w:val="32"/>
          <w:szCs w:val="32"/>
        </w:rPr>
      </w:pPr>
      <w:r>
        <w:rPr>
          <w:rFonts w:ascii="仿宋" w:eastAsia="仿宋" w:hAnsi="仿宋" w:cs="宋体" w:hint="eastAsia"/>
          <w:kern w:val="0"/>
          <w:sz w:val="32"/>
          <w:szCs w:val="32"/>
        </w:rPr>
        <w:t>（二）比较测算结果</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以各种测算指标比较不同策划方案的优劣，科学评价资金的时间价值、财务数据与税收成本的关系。</w:t>
      </w:r>
    </w:p>
    <w:p w:rsidR="00E85C6B" w:rsidRDefault="00DC32A0">
      <w:pPr>
        <w:autoSpaceDE w:val="0"/>
        <w:autoSpaceDN w:val="0"/>
        <w:spacing w:line="360" w:lineRule="auto"/>
        <w:ind w:firstLineChars="200" w:firstLine="640"/>
        <w:jc w:val="left"/>
        <w:outlineLvl w:val="2"/>
        <w:rPr>
          <w:rFonts w:ascii="仿宋" w:eastAsia="仿宋" w:hAnsi="仿宋" w:cs="宋体"/>
          <w:kern w:val="0"/>
          <w:sz w:val="32"/>
          <w:szCs w:val="32"/>
        </w:rPr>
      </w:pPr>
      <w:r>
        <w:rPr>
          <w:rFonts w:ascii="仿宋" w:eastAsia="仿宋" w:hAnsi="仿宋" w:cs="宋体" w:hint="eastAsia"/>
          <w:kern w:val="0"/>
          <w:sz w:val="32"/>
          <w:szCs w:val="32"/>
        </w:rPr>
        <w:t>（三）比较管理及操作成本</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根据委托人提供的相关信息，分析各个策划方案对委托人的财务管理、其他业务管理、操作习惯、内部考核、上级管理等事项造成的影响，合理预估各个策划方案的管理成本和操作难度。</w:t>
      </w:r>
    </w:p>
    <w:p w:rsidR="00E85C6B" w:rsidRDefault="00DC32A0">
      <w:pPr>
        <w:autoSpaceDE w:val="0"/>
        <w:autoSpaceDN w:val="0"/>
        <w:spacing w:line="360" w:lineRule="auto"/>
        <w:ind w:firstLineChars="200" w:firstLine="640"/>
        <w:jc w:val="left"/>
        <w:outlineLvl w:val="2"/>
        <w:rPr>
          <w:rFonts w:ascii="仿宋" w:eastAsia="仿宋" w:hAnsi="仿宋" w:cs="宋体"/>
          <w:kern w:val="0"/>
          <w:sz w:val="32"/>
          <w:szCs w:val="32"/>
        </w:rPr>
      </w:pPr>
      <w:r>
        <w:rPr>
          <w:rFonts w:ascii="仿宋" w:eastAsia="仿宋" w:hAnsi="仿宋" w:cs="宋体" w:hint="eastAsia"/>
          <w:kern w:val="0"/>
          <w:sz w:val="32"/>
          <w:szCs w:val="32"/>
        </w:rPr>
        <w:t>（四）分析行业特性及业务模式</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从委托人所在行业的经营特点、竞争形势、发展趋势等方面，分析和评价各个策划方案是否存在不利委托人的业务模</w:t>
      </w:r>
      <w:r>
        <w:rPr>
          <w:rFonts w:ascii="仿宋" w:eastAsia="仿宋" w:hAnsi="仿宋" w:cs="宋体" w:hint="eastAsia"/>
          <w:kern w:val="0"/>
          <w:sz w:val="32"/>
          <w:szCs w:val="32"/>
        </w:rPr>
        <w:lastRenderedPageBreak/>
        <w:t>式。</w:t>
      </w:r>
    </w:p>
    <w:p w:rsidR="00E85C6B" w:rsidRDefault="00DC32A0">
      <w:pPr>
        <w:autoSpaceDE w:val="0"/>
        <w:autoSpaceDN w:val="0"/>
        <w:spacing w:line="360" w:lineRule="auto"/>
        <w:ind w:firstLineChars="200" w:firstLine="640"/>
        <w:jc w:val="left"/>
        <w:outlineLvl w:val="2"/>
        <w:rPr>
          <w:rFonts w:ascii="仿宋" w:eastAsia="仿宋" w:hAnsi="仿宋" w:cs="宋体"/>
          <w:kern w:val="0"/>
          <w:sz w:val="32"/>
          <w:szCs w:val="32"/>
        </w:rPr>
      </w:pPr>
      <w:r>
        <w:rPr>
          <w:rFonts w:ascii="仿宋" w:eastAsia="仿宋" w:hAnsi="仿宋" w:cs="宋体" w:hint="eastAsia"/>
          <w:kern w:val="0"/>
          <w:sz w:val="32"/>
          <w:szCs w:val="32"/>
        </w:rPr>
        <w:t>（五）明确委托人风险接受程度</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针对受托策划业务，基于策划方案出具、策划数据分析、策划成果架构及内容、策划方案落地政策适用、</w:t>
      </w:r>
      <w:proofErr w:type="gramStart"/>
      <w:r>
        <w:rPr>
          <w:rFonts w:ascii="仿宋" w:eastAsia="仿宋" w:hAnsi="仿宋" w:cs="宋体" w:hint="eastAsia"/>
          <w:kern w:val="0"/>
          <w:sz w:val="32"/>
          <w:szCs w:val="32"/>
        </w:rPr>
        <w:t>策划全</w:t>
      </w:r>
      <w:proofErr w:type="gramEnd"/>
      <w:r>
        <w:rPr>
          <w:rFonts w:ascii="仿宋" w:eastAsia="仿宋" w:hAnsi="仿宋" w:cs="宋体" w:hint="eastAsia"/>
          <w:kern w:val="0"/>
          <w:sz w:val="32"/>
          <w:szCs w:val="32"/>
        </w:rPr>
        <w:t>周期的税收政策准确性等方面，充分进行业务执行过程的风险分析</w:t>
      </w:r>
      <w:proofErr w:type="gramStart"/>
      <w:r>
        <w:rPr>
          <w:rFonts w:ascii="仿宋" w:eastAsia="仿宋" w:hAnsi="仿宋" w:cs="宋体" w:hint="eastAsia"/>
          <w:kern w:val="0"/>
          <w:sz w:val="32"/>
          <w:szCs w:val="32"/>
        </w:rPr>
        <w:t>与风控评价</w:t>
      </w:r>
      <w:proofErr w:type="gramEnd"/>
      <w:r>
        <w:rPr>
          <w:rFonts w:ascii="仿宋" w:eastAsia="仿宋" w:hAnsi="仿宋" w:cs="宋体" w:hint="eastAsia"/>
          <w:kern w:val="0"/>
          <w:sz w:val="32"/>
          <w:szCs w:val="32"/>
        </w:rPr>
        <w:t>，了解、分析委托人管理层的风险接受程度，对策划方案中存在政策法规适合性风险的内容</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评价和提醒，并以此作为实施建议的重要依据。</w:t>
      </w:r>
    </w:p>
    <w:p w:rsidR="00E85C6B" w:rsidRDefault="00DC32A0">
      <w:pPr>
        <w:autoSpaceDE w:val="0"/>
        <w:autoSpaceDN w:val="0"/>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涉税服务人员对综合辩证分析的结果进行归纳整理后，与委托人进行充分的沟通，确保成果与委托人目标的一致性。经委托人认可后作为项目留存档案的组成部分。</w:t>
      </w:r>
    </w:p>
    <w:p w:rsidR="00E85C6B" w:rsidRDefault="00DC32A0">
      <w:pPr>
        <w:widowControl/>
        <w:spacing w:before="100" w:beforeAutospacing="1" w:after="100" w:afterAutospacing="1" w:line="360" w:lineRule="auto"/>
        <w:jc w:val="center"/>
        <w:outlineLvl w:val="0"/>
        <w:rPr>
          <w:rFonts w:ascii="仿宋" w:eastAsia="仿宋" w:hAnsi="仿宋" w:cs="宋体"/>
          <w:b/>
          <w:bCs/>
          <w:kern w:val="0"/>
          <w:sz w:val="32"/>
          <w:szCs w:val="32"/>
        </w:rPr>
      </w:pPr>
      <w:r>
        <w:rPr>
          <w:rFonts w:ascii="仿宋" w:eastAsia="仿宋" w:hAnsi="仿宋" w:cs="宋体" w:hint="eastAsia"/>
          <w:b/>
          <w:bCs/>
          <w:kern w:val="0"/>
          <w:sz w:val="32"/>
          <w:szCs w:val="32"/>
        </w:rPr>
        <w:t>第四章 业务成果与档案</w:t>
      </w:r>
    </w:p>
    <w:p w:rsidR="00E85C6B" w:rsidRDefault="00DC32A0">
      <w:pPr>
        <w:widowControl/>
        <w:spacing w:before="100" w:beforeAutospacing="1" w:after="100" w:afterAutospacing="1" w:line="360" w:lineRule="auto"/>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 xml:space="preserve">第五十六条 </w:t>
      </w:r>
      <w:r>
        <w:rPr>
          <w:rFonts w:ascii="仿宋" w:eastAsia="仿宋" w:hAnsi="仿宋" w:cs="宋体" w:hint="eastAsia"/>
          <w:kern w:val="0"/>
          <w:sz w:val="32"/>
          <w:szCs w:val="32"/>
        </w:rPr>
        <w:t>税务师事务所及其涉税服务人员应当遵循《税务师行业涉税专业服务程序指引（试行）》的规定编制业务报告。业务成果包括PPP项目税收策划报告、方案分析文档、方案测算底稿等。</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宋体" w:hint="eastAsia"/>
          <w:b/>
          <w:kern w:val="0"/>
          <w:sz w:val="32"/>
          <w:szCs w:val="32"/>
        </w:rPr>
        <w:t xml:space="preserve">第五十七条 </w:t>
      </w:r>
      <w:r>
        <w:rPr>
          <w:rFonts w:ascii="仿宋" w:eastAsia="仿宋" w:hAnsi="仿宋" w:cs="宋体" w:hint="eastAsia"/>
          <w:kern w:val="0"/>
          <w:sz w:val="32"/>
          <w:szCs w:val="32"/>
        </w:rPr>
        <w:t>PPP税收策划报告包括封面、前言、目录、背景、策划方案、分析比较内容、实施建议以及附件等基本要素。</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宋体" w:hint="eastAsia"/>
          <w:b/>
          <w:kern w:val="0"/>
          <w:sz w:val="32"/>
          <w:szCs w:val="32"/>
        </w:rPr>
        <w:t xml:space="preserve">第五十八条 </w:t>
      </w:r>
      <w:r>
        <w:rPr>
          <w:rFonts w:ascii="仿宋" w:eastAsia="仿宋" w:hAnsi="仿宋" w:cs="宋体" w:hint="eastAsia"/>
          <w:kern w:val="0"/>
          <w:sz w:val="32"/>
          <w:szCs w:val="32"/>
        </w:rPr>
        <w:t>P</w:t>
      </w:r>
      <w:r>
        <w:rPr>
          <w:rFonts w:ascii="仿宋" w:eastAsia="仿宋" w:hAnsi="仿宋" w:cs="宋体"/>
          <w:kern w:val="0"/>
          <w:sz w:val="32"/>
          <w:szCs w:val="32"/>
        </w:rPr>
        <w:t>PP</w:t>
      </w:r>
      <w:r>
        <w:rPr>
          <w:rFonts w:ascii="仿宋" w:eastAsia="仿宋" w:hAnsi="仿宋" w:cs="宋体" w:hint="eastAsia"/>
          <w:kern w:val="0"/>
          <w:sz w:val="32"/>
          <w:szCs w:val="32"/>
        </w:rPr>
        <w:t>策划报告的出具，应充分考虑PPP项目的运营周期特点以及潜在的政策变动风险，并与委托方在策划</w:t>
      </w:r>
      <w:r>
        <w:rPr>
          <w:rFonts w:ascii="仿宋" w:eastAsia="仿宋" w:hAnsi="仿宋" w:cs="宋体" w:hint="eastAsia"/>
          <w:kern w:val="0"/>
          <w:sz w:val="32"/>
          <w:szCs w:val="32"/>
        </w:rPr>
        <w:lastRenderedPageBreak/>
        <w:t>报告出具时点的项目运营状况、策划依据</w:t>
      </w:r>
      <w:proofErr w:type="gramStart"/>
      <w:r>
        <w:rPr>
          <w:rFonts w:ascii="仿宋" w:eastAsia="仿宋" w:hAnsi="仿宋" w:cs="宋体" w:hint="eastAsia"/>
          <w:kern w:val="0"/>
          <w:sz w:val="32"/>
          <w:szCs w:val="32"/>
        </w:rPr>
        <w:t>系委托</w:t>
      </w:r>
      <w:proofErr w:type="gramEnd"/>
      <w:r>
        <w:rPr>
          <w:rFonts w:ascii="仿宋" w:eastAsia="仿宋" w:hAnsi="仿宋" w:cs="宋体" w:hint="eastAsia"/>
          <w:kern w:val="0"/>
          <w:sz w:val="32"/>
          <w:szCs w:val="32"/>
        </w:rPr>
        <w:t>方提供的预计财税数据以及政策规定变动等风险方面达成共识，并在满足策划报告草拟规则等条件的前提下，完整包含以下内容：</w:t>
      </w:r>
      <w:r>
        <w:rPr>
          <w:rFonts w:ascii="仿宋" w:eastAsia="仿宋" w:hAnsi="仿宋" w:cs="宋体"/>
          <w:kern w:val="0"/>
          <w:sz w:val="32"/>
          <w:szCs w:val="32"/>
        </w:rPr>
        <w:br/>
        <w:t xml:space="preserve">    </w:t>
      </w:r>
      <w:r>
        <w:rPr>
          <w:rFonts w:ascii="仿宋" w:eastAsia="仿宋" w:hAnsi="仿宋" w:cs="宋体" w:hint="eastAsia"/>
          <w:kern w:val="0"/>
          <w:sz w:val="32"/>
          <w:szCs w:val="32"/>
        </w:rPr>
        <w:t>（一）</w:t>
      </w:r>
      <w:r>
        <w:rPr>
          <w:rFonts w:ascii="仿宋" w:eastAsia="仿宋" w:hAnsi="仿宋" w:cs="宋体"/>
          <w:kern w:val="0"/>
          <w:sz w:val="32"/>
          <w:szCs w:val="32"/>
        </w:rPr>
        <w:t>PPP</w:t>
      </w:r>
      <w:r>
        <w:rPr>
          <w:rFonts w:ascii="仿宋" w:eastAsia="仿宋" w:hAnsi="仿宋" w:cs="宋体" w:hint="eastAsia"/>
          <w:kern w:val="0"/>
          <w:sz w:val="32"/>
          <w:szCs w:val="32"/>
        </w:rPr>
        <w:t>税收策划报告所适用的税收法律法规及规范性文件依据；</w:t>
      </w:r>
      <w:r>
        <w:rPr>
          <w:rFonts w:ascii="仿宋" w:eastAsia="仿宋" w:hAnsi="仿宋" w:cs="宋体"/>
          <w:kern w:val="0"/>
          <w:sz w:val="32"/>
          <w:szCs w:val="32"/>
        </w:rPr>
        <w:br/>
        <w:t xml:space="preserve">    </w:t>
      </w:r>
      <w:r>
        <w:rPr>
          <w:rFonts w:ascii="仿宋" w:eastAsia="仿宋" w:hAnsi="仿宋" w:cs="宋体" w:hint="eastAsia"/>
          <w:kern w:val="0"/>
          <w:sz w:val="32"/>
          <w:szCs w:val="32"/>
        </w:rPr>
        <w:t>（二）</w:t>
      </w:r>
      <w:r>
        <w:rPr>
          <w:rFonts w:ascii="仿宋" w:eastAsia="仿宋" w:hAnsi="仿宋" w:cs="宋体"/>
          <w:kern w:val="0"/>
          <w:sz w:val="32"/>
          <w:szCs w:val="32"/>
        </w:rPr>
        <w:t>PPP</w:t>
      </w:r>
      <w:r>
        <w:rPr>
          <w:rFonts w:ascii="仿宋" w:eastAsia="仿宋" w:hAnsi="仿宋" w:cs="宋体" w:hint="eastAsia"/>
          <w:kern w:val="0"/>
          <w:sz w:val="32"/>
          <w:szCs w:val="32"/>
        </w:rPr>
        <w:t>税收策划报告中具体数据的出处及准确性说明；</w:t>
      </w:r>
      <w:r>
        <w:rPr>
          <w:rFonts w:ascii="仿宋" w:eastAsia="仿宋" w:hAnsi="仿宋" w:cs="宋体"/>
          <w:kern w:val="0"/>
          <w:sz w:val="32"/>
          <w:szCs w:val="32"/>
        </w:rPr>
        <w:br/>
        <w:t xml:space="preserve">    </w:t>
      </w:r>
      <w:r>
        <w:rPr>
          <w:rFonts w:ascii="仿宋" w:eastAsia="仿宋" w:hAnsi="仿宋" w:cs="宋体" w:hint="eastAsia"/>
          <w:kern w:val="0"/>
          <w:sz w:val="32"/>
          <w:szCs w:val="32"/>
        </w:rPr>
        <w:t>（三）P</w:t>
      </w:r>
      <w:r>
        <w:rPr>
          <w:rFonts w:ascii="仿宋" w:eastAsia="仿宋" w:hAnsi="仿宋" w:cs="宋体"/>
          <w:kern w:val="0"/>
          <w:sz w:val="32"/>
          <w:szCs w:val="32"/>
        </w:rPr>
        <w:t>PP</w:t>
      </w:r>
      <w:r>
        <w:rPr>
          <w:rFonts w:ascii="仿宋" w:eastAsia="仿宋" w:hAnsi="仿宋" w:cs="宋体" w:hint="eastAsia"/>
          <w:kern w:val="0"/>
          <w:sz w:val="32"/>
          <w:szCs w:val="32"/>
        </w:rPr>
        <w:t>税收策划报告中具体建议的合法性、合理性说明；</w:t>
      </w:r>
      <w:r>
        <w:rPr>
          <w:rFonts w:ascii="仿宋" w:eastAsia="仿宋" w:hAnsi="仿宋" w:cs="宋体"/>
          <w:kern w:val="0"/>
          <w:sz w:val="32"/>
          <w:szCs w:val="32"/>
        </w:rPr>
        <w:br/>
        <w:t xml:space="preserve">    </w:t>
      </w:r>
      <w:r>
        <w:rPr>
          <w:rFonts w:ascii="仿宋" w:eastAsia="仿宋" w:hAnsi="仿宋" w:cs="宋体" w:hint="eastAsia"/>
          <w:kern w:val="0"/>
          <w:sz w:val="32"/>
          <w:szCs w:val="32"/>
        </w:rPr>
        <w:t>（四）P</w:t>
      </w:r>
      <w:r>
        <w:rPr>
          <w:rFonts w:ascii="仿宋" w:eastAsia="仿宋" w:hAnsi="仿宋" w:cs="宋体"/>
          <w:kern w:val="0"/>
          <w:sz w:val="32"/>
          <w:szCs w:val="32"/>
        </w:rPr>
        <w:t>PP</w:t>
      </w:r>
      <w:r>
        <w:rPr>
          <w:rFonts w:ascii="仿宋" w:eastAsia="仿宋" w:hAnsi="仿宋" w:cs="宋体" w:hint="eastAsia"/>
          <w:kern w:val="0"/>
          <w:sz w:val="32"/>
          <w:szCs w:val="32"/>
        </w:rPr>
        <w:t>税收策划报告中其他建议或意见性条款的合</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性依据等。</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宋体" w:hint="eastAsia"/>
          <w:b/>
          <w:kern w:val="0"/>
          <w:sz w:val="32"/>
          <w:szCs w:val="32"/>
        </w:rPr>
        <w:t xml:space="preserve">第五十九条 </w:t>
      </w:r>
      <w:r>
        <w:rPr>
          <w:rFonts w:ascii="仿宋" w:eastAsia="仿宋" w:hAnsi="仿宋" w:cs="宋体" w:hint="eastAsia"/>
          <w:kern w:val="0"/>
          <w:sz w:val="32"/>
          <w:szCs w:val="32"/>
        </w:rPr>
        <w:t>P</w:t>
      </w:r>
      <w:r>
        <w:rPr>
          <w:rFonts w:ascii="仿宋" w:eastAsia="仿宋" w:hAnsi="仿宋" w:cs="宋体"/>
          <w:kern w:val="0"/>
          <w:sz w:val="32"/>
          <w:szCs w:val="32"/>
        </w:rPr>
        <w:t>PP</w:t>
      </w:r>
      <w:r>
        <w:rPr>
          <w:rFonts w:ascii="仿宋" w:eastAsia="仿宋" w:hAnsi="仿宋" w:cs="宋体" w:hint="eastAsia"/>
          <w:kern w:val="0"/>
          <w:sz w:val="32"/>
          <w:szCs w:val="32"/>
        </w:rPr>
        <w:t>策划报告中列明与服务内容相关法律法规条款，法律法规条款繁多时可以对其内容进行归纳后列示。</w:t>
      </w:r>
      <w:r>
        <w:rPr>
          <w:rFonts w:ascii="仿宋" w:eastAsia="仿宋" w:hAnsi="仿宋" w:cs="宋体"/>
          <w:kern w:val="0"/>
          <w:sz w:val="32"/>
          <w:szCs w:val="32"/>
        </w:rPr>
        <w:br/>
      </w:r>
      <w:r>
        <w:rPr>
          <w:rFonts w:ascii="仿宋" w:eastAsia="仿宋" w:hAnsi="仿宋" w:cs="宋体" w:hint="eastAsia"/>
          <w:b/>
          <w:kern w:val="0"/>
          <w:sz w:val="32"/>
          <w:szCs w:val="32"/>
        </w:rPr>
        <w:t xml:space="preserve"> </w:t>
      </w:r>
      <w:r>
        <w:rPr>
          <w:rFonts w:ascii="仿宋" w:eastAsia="仿宋" w:hAnsi="仿宋" w:cs="宋体"/>
          <w:b/>
          <w:kern w:val="0"/>
          <w:sz w:val="32"/>
          <w:szCs w:val="32"/>
        </w:rPr>
        <w:t xml:space="preserve">   </w:t>
      </w:r>
      <w:r>
        <w:rPr>
          <w:rFonts w:ascii="仿宋" w:eastAsia="仿宋" w:hAnsi="仿宋" w:cs="宋体" w:hint="eastAsia"/>
          <w:b/>
          <w:kern w:val="0"/>
          <w:sz w:val="32"/>
          <w:szCs w:val="32"/>
        </w:rPr>
        <w:t xml:space="preserve">第六十条 </w:t>
      </w:r>
      <w:r>
        <w:rPr>
          <w:rFonts w:ascii="仿宋" w:eastAsia="仿宋" w:hAnsi="仿宋" w:cs="宋体" w:hint="eastAsia"/>
          <w:kern w:val="0"/>
          <w:sz w:val="32"/>
          <w:szCs w:val="32"/>
        </w:rPr>
        <w:t>P</w:t>
      </w:r>
      <w:r>
        <w:rPr>
          <w:rFonts w:ascii="仿宋" w:eastAsia="仿宋" w:hAnsi="仿宋" w:cs="宋体"/>
          <w:kern w:val="0"/>
          <w:sz w:val="32"/>
          <w:szCs w:val="32"/>
        </w:rPr>
        <w:t>PP</w:t>
      </w:r>
      <w:r>
        <w:rPr>
          <w:rFonts w:ascii="仿宋" w:eastAsia="仿宋" w:hAnsi="仿宋" w:cs="宋体" w:hint="eastAsia"/>
          <w:kern w:val="0"/>
          <w:sz w:val="32"/>
          <w:szCs w:val="32"/>
        </w:rPr>
        <w:t>税收策划业务成果的合</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评价，应重点关注以下事项：</w:t>
      </w:r>
      <w:r>
        <w:rPr>
          <w:rFonts w:ascii="仿宋" w:eastAsia="仿宋" w:hAnsi="仿宋" w:cs="宋体"/>
          <w:kern w:val="0"/>
          <w:sz w:val="32"/>
          <w:szCs w:val="32"/>
        </w:rPr>
        <w:br/>
        <w:t xml:space="preserve">   </w:t>
      </w:r>
      <w:r>
        <w:rPr>
          <w:rFonts w:ascii="仿宋" w:eastAsia="仿宋" w:hAnsi="仿宋" w:cs="宋体" w:hint="eastAsia"/>
          <w:kern w:val="0"/>
          <w:sz w:val="32"/>
          <w:szCs w:val="32"/>
        </w:rPr>
        <w:t>（一）不同策划方案及建议的风险比对与政策适用性分析；</w:t>
      </w:r>
      <w:r>
        <w:rPr>
          <w:rFonts w:ascii="仿宋" w:eastAsia="仿宋" w:hAnsi="仿宋" w:cs="宋体"/>
          <w:kern w:val="0"/>
          <w:sz w:val="32"/>
          <w:szCs w:val="32"/>
        </w:rPr>
        <w:br/>
        <w:t xml:space="preserve">  </w:t>
      </w:r>
      <w:r>
        <w:rPr>
          <w:rFonts w:ascii="仿宋" w:eastAsia="仿宋" w:hAnsi="仿宋" w:cs="宋体" w:hint="eastAsia"/>
          <w:kern w:val="0"/>
          <w:sz w:val="32"/>
          <w:szCs w:val="32"/>
        </w:rPr>
        <w:t xml:space="preserve"> （二）委托方与受托方就策划报告的评价意见交换文档； </w:t>
      </w:r>
      <w:r>
        <w:rPr>
          <w:rFonts w:ascii="仿宋" w:eastAsia="仿宋" w:hAnsi="仿宋" w:cs="宋体"/>
          <w:kern w:val="0"/>
          <w:sz w:val="32"/>
          <w:szCs w:val="32"/>
        </w:rPr>
        <w:t xml:space="preserve">       </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 （三）策划业务过程中的服务报告对应的数据底稿；</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 （四）</w:t>
      </w:r>
      <w:r>
        <w:rPr>
          <w:rFonts w:ascii="仿宋" w:eastAsia="仿宋" w:hAnsi="仿宋" w:cs="宋体"/>
          <w:kern w:val="0"/>
          <w:sz w:val="32"/>
          <w:szCs w:val="32"/>
        </w:rPr>
        <w:t>PPP</w:t>
      </w:r>
      <w:r>
        <w:rPr>
          <w:rFonts w:ascii="仿宋" w:eastAsia="仿宋" w:hAnsi="仿宋" w:cs="宋体" w:hint="eastAsia"/>
          <w:kern w:val="0"/>
          <w:sz w:val="32"/>
          <w:szCs w:val="32"/>
        </w:rPr>
        <w:t>项目实际属性及政策缺失导致的不确定性分析及提示。</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宋体" w:hint="eastAsia"/>
          <w:b/>
          <w:kern w:val="0"/>
          <w:sz w:val="32"/>
          <w:szCs w:val="32"/>
        </w:rPr>
        <w:t xml:space="preserve">第六十一条 </w:t>
      </w:r>
      <w:r>
        <w:rPr>
          <w:rFonts w:ascii="仿宋" w:eastAsia="仿宋" w:hAnsi="仿宋" w:cs="宋体" w:hint="eastAsia"/>
          <w:kern w:val="0"/>
          <w:sz w:val="32"/>
          <w:szCs w:val="32"/>
        </w:rPr>
        <w:t>未经委托人同意，税务师事务所不得向任何</w:t>
      </w:r>
      <w:r>
        <w:rPr>
          <w:rFonts w:ascii="仿宋" w:eastAsia="仿宋" w:hAnsi="仿宋" w:cs="宋体" w:hint="eastAsia"/>
          <w:kern w:val="0"/>
          <w:sz w:val="32"/>
          <w:szCs w:val="32"/>
        </w:rPr>
        <w:lastRenderedPageBreak/>
        <w:t>第三方提供工作底稿，但下列情况除外：</w:t>
      </w:r>
      <w:r>
        <w:rPr>
          <w:rFonts w:ascii="仿宋" w:eastAsia="仿宋" w:hAnsi="仿宋" w:cs="宋体"/>
          <w:kern w:val="0"/>
          <w:sz w:val="32"/>
          <w:szCs w:val="32"/>
        </w:rPr>
        <w:br/>
        <w:t xml:space="preserve">    </w:t>
      </w:r>
      <w:r>
        <w:rPr>
          <w:rFonts w:ascii="仿宋" w:eastAsia="仿宋" w:hAnsi="仿宋" w:cs="宋体" w:hint="eastAsia"/>
          <w:kern w:val="0"/>
          <w:sz w:val="32"/>
          <w:szCs w:val="32"/>
        </w:rPr>
        <w:t>（一）税务机关因行政执法检查需要进行查阅的；</w:t>
      </w:r>
      <w:r>
        <w:rPr>
          <w:rFonts w:ascii="仿宋" w:eastAsia="仿宋" w:hAnsi="仿宋" w:cs="宋体"/>
          <w:kern w:val="0"/>
          <w:sz w:val="32"/>
          <w:szCs w:val="32"/>
        </w:rPr>
        <w:br/>
        <w:t xml:space="preserve">    </w:t>
      </w:r>
      <w:r>
        <w:rPr>
          <w:rFonts w:ascii="仿宋" w:eastAsia="仿宋" w:hAnsi="仿宋" w:cs="宋体" w:hint="eastAsia"/>
          <w:kern w:val="0"/>
          <w:sz w:val="32"/>
          <w:szCs w:val="32"/>
        </w:rPr>
        <w:t>（二）行业主管部门和行业协会因检查执业质量需要进行查阅的；</w:t>
      </w:r>
      <w:r>
        <w:rPr>
          <w:rFonts w:ascii="仿宋" w:eastAsia="仿宋" w:hAnsi="仿宋" w:cs="宋体"/>
          <w:kern w:val="0"/>
          <w:sz w:val="32"/>
          <w:szCs w:val="32"/>
        </w:rPr>
        <w:br/>
        <w:t xml:space="preserve">    </w:t>
      </w:r>
      <w:r>
        <w:rPr>
          <w:rFonts w:ascii="仿宋" w:eastAsia="仿宋" w:hAnsi="仿宋" w:cs="宋体" w:hint="eastAsia"/>
          <w:kern w:val="0"/>
          <w:sz w:val="32"/>
          <w:szCs w:val="32"/>
        </w:rPr>
        <w:t>（三）公安机关、人民检察院、人民法院根据有关法律、行政法规需要进行查阅的。</w:t>
      </w:r>
      <w:r>
        <w:rPr>
          <w:rFonts w:ascii="仿宋" w:eastAsia="仿宋" w:hAnsi="仿宋" w:cs="宋体"/>
          <w:kern w:val="0"/>
          <w:sz w:val="32"/>
          <w:szCs w:val="32"/>
        </w:rPr>
        <w:br/>
        <w:t xml:space="preserve">    </w:t>
      </w:r>
      <w:r>
        <w:rPr>
          <w:rFonts w:ascii="仿宋" w:eastAsia="仿宋" w:hAnsi="仿宋" w:cs="宋体" w:hint="eastAsia"/>
          <w:b/>
          <w:kern w:val="0"/>
          <w:sz w:val="32"/>
          <w:szCs w:val="32"/>
        </w:rPr>
        <w:t xml:space="preserve">第六十二条 </w:t>
      </w:r>
      <w:r>
        <w:rPr>
          <w:rFonts w:ascii="仿宋" w:eastAsia="仿宋" w:hAnsi="仿宋" w:cs="宋体" w:hint="eastAsia"/>
          <w:kern w:val="0"/>
          <w:sz w:val="32"/>
          <w:szCs w:val="32"/>
        </w:rPr>
        <w:t xml:space="preserve">税务师事务所及其涉税服务人员应对开展的税收策划业务登记台账，为按照49号公告要求向税务机关报送《年度涉税专业服务总体情况表》提供依据。 </w:t>
      </w:r>
    </w:p>
    <w:p w:rsidR="00E85C6B" w:rsidRDefault="00DC32A0">
      <w:pPr>
        <w:widowControl/>
        <w:spacing w:before="100" w:beforeAutospacing="1" w:after="100" w:afterAutospacing="1" w:line="360" w:lineRule="auto"/>
        <w:jc w:val="center"/>
        <w:outlineLvl w:val="0"/>
        <w:rPr>
          <w:rFonts w:ascii="仿宋" w:eastAsia="仿宋" w:hAnsi="仿宋" w:cs="宋体"/>
          <w:b/>
          <w:kern w:val="0"/>
          <w:sz w:val="32"/>
          <w:szCs w:val="32"/>
        </w:rPr>
      </w:pPr>
      <w:r>
        <w:rPr>
          <w:rFonts w:ascii="仿宋" w:eastAsia="仿宋" w:hAnsi="仿宋" w:cs="宋体" w:hint="eastAsia"/>
          <w:b/>
          <w:kern w:val="0"/>
          <w:sz w:val="32"/>
          <w:szCs w:val="32"/>
        </w:rPr>
        <w:t>第五章  附 则</w:t>
      </w:r>
    </w:p>
    <w:p w:rsidR="00E85C6B" w:rsidRDefault="00DC32A0">
      <w:pPr>
        <w:widowControl/>
        <w:spacing w:before="100" w:beforeAutospacing="1" w:after="100" w:afterAutospacing="1" w:line="360" w:lineRule="auto"/>
        <w:ind w:firstLineChars="200" w:firstLine="643"/>
        <w:jc w:val="left"/>
        <w:outlineLvl w:val="0"/>
        <w:rPr>
          <w:rFonts w:ascii="仿宋" w:eastAsia="仿宋" w:hAnsi="仿宋" w:cs="宋体"/>
          <w:b/>
          <w:kern w:val="0"/>
          <w:sz w:val="32"/>
          <w:szCs w:val="32"/>
        </w:rPr>
      </w:pPr>
      <w:r>
        <w:rPr>
          <w:rFonts w:ascii="仿宋" w:eastAsia="仿宋" w:hAnsi="仿宋" w:cs="宋体" w:hint="eastAsia"/>
          <w:b/>
          <w:kern w:val="0"/>
          <w:sz w:val="32"/>
          <w:szCs w:val="32"/>
        </w:rPr>
        <w:t xml:space="preserve">第六十三条 </w:t>
      </w:r>
      <w:r>
        <w:rPr>
          <w:rFonts w:ascii="仿宋" w:eastAsia="仿宋" w:hAnsi="仿宋" w:cs="宋体" w:hint="eastAsia"/>
          <w:kern w:val="0"/>
          <w:sz w:val="32"/>
          <w:szCs w:val="32"/>
        </w:rPr>
        <w:t>本指引自2023年7月1日起试行。</w:t>
      </w:r>
    </w:p>
    <w:p w:rsidR="00E85C6B" w:rsidRDefault="00E85C6B">
      <w:pPr>
        <w:widowControl/>
        <w:spacing w:before="100" w:beforeAutospacing="1" w:after="100" w:afterAutospacing="1" w:line="360" w:lineRule="auto"/>
        <w:ind w:firstLineChars="200" w:firstLine="640"/>
        <w:jc w:val="left"/>
        <w:rPr>
          <w:rFonts w:ascii="仿宋" w:eastAsia="仿宋" w:hAnsi="仿宋" w:cs="宋体"/>
          <w:kern w:val="0"/>
          <w:sz w:val="32"/>
          <w:szCs w:val="32"/>
        </w:rPr>
      </w:pPr>
    </w:p>
    <w:p w:rsidR="00E85C6B" w:rsidRDefault="00E85C6B">
      <w:pPr>
        <w:widowControl/>
        <w:spacing w:before="100" w:beforeAutospacing="1" w:after="100" w:afterAutospacing="1" w:line="360" w:lineRule="auto"/>
        <w:ind w:firstLineChars="200" w:firstLine="640"/>
        <w:jc w:val="left"/>
        <w:rPr>
          <w:rFonts w:ascii="仿宋" w:eastAsia="仿宋" w:hAnsi="仿宋" w:cs="宋体"/>
          <w:kern w:val="0"/>
          <w:sz w:val="32"/>
          <w:szCs w:val="32"/>
        </w:rPr>
      </w:pPr>
    </w:p>
    <w:p w:rsidR="00E85C6B" w:rsidRDefault="00E85C6B">
      <w:pPr>
        <w:widowControl/>
        <w:spacing w:before="100" w:beforeAutospacing="1" w:after="100" w:afterAutospacing="1" w:line="360" w:lineRule="auto"/>
        <w:ind w:firstLineChars="200" w:firstLine="640"/>
        <w:jc w:val="left"/>
        <w:rPr>
          <w:rFonts w:ascii="仿宋" w:eastAsia="仿宋" w:hAnsi="仿宋" w:cs="宋体"/>
          <w:kern w:val="0"/>
          <w:sz w:val="32"/>
          <w:szCs w:val="32"/>
        </w:rPr>
      </w:pPr>
    </w:p>
    <w:p w:rsidR="00E85C6B" w:rsidRDefault="00DC32A0" w:rsidP="00D62F9C">
      <w:pPr>
        <w:widowControl/>
        <w:spacing w:before="100" w:beforeAutospacing="1" w:after="100" w:afterAutospacing="1"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附件：</w:t>
      </w:r>
      <w:bookmarkStart w:id="1" w:name="_GoBack"/>
      <w:bookmarkEnd w:id="1"/>
      <w:r>
        <w:rPr>
          <w:rFonts w:ascii="仿宋" w:eastAsia="仿宋" w:hAnsi="仿宋" w:cs="宋体" w:hint="eastAsia"/>
          <w:kern w:val="0"/>
          <w:sz w:val="32"/>
          <w:szCs w:val="32"/>
        </w:rPr>
        <w:t>1.</w:t>
      </w:r>
      <w:r>
        <w:rPr>
          <w:rFonts w:ascii="仿宋" w:eastAsia="仿宋" w:hAnsi="仿宋" w:cs="宋体"/>
          <w:kern w:val="0"/>
          <w:sz w:val="32"/>
          <w:szCs w:val="32"/>
        </w:rPr>
        <w:t>PPP</w:t>
      </w:r>
      <w:r>
        <w:rPr>
          <w:rFonts w:ascii="仿宋" w:eastAsia="仿宋" w:hAnsi="仿宋" w:cs="宋体" w:hint="eastAsia"/>
          <w:kern w:val="0"/>
          <w:sz w:val="32"/>
          <w:szCs w:val="32"/>
        </w:rPr>
        <w:t>项目</w:t>
      </w:r>
      <w:r>
        <w:rPr>
          <w:rFonts w:ascii="仿宋" w:eastAsia="仿宋" w:hAnsi="仿宋" w:cs="宋体"/>
          <w:kern w:val="0"/>
          <w:sz w:val="32"/>
          <w:szCs w:val="32"/>
        </w:rPr>
        <w:t>税收策划业务报告</w:t>
      </w:r>
      <w:r>
        <w:rPr>
          <w:rFonts w:ascii="仿宋" w:eastAsia="仿宋" w:hAnsi="仿宋" w:cs="宋体" w:hint="eastAsia"/>
          <w:kern w:val="0"/>
          <w:sz w:val="32"/>
          <w:szCs w:val="32"/>
        </w:rPr>
        <w:t>（参考示例）</w:t>
      </w:r>
    </w:p>
    <w:p w:rsidR="00E85C6B" w:rsidRDefault="00DC32A0" w:rsidP="00B36523">
      <w:pPr>
        <w:widowControl/>
        <w:spacing w:before="100" w:beforeAutospacing="1" w:after="100" w:afterAutospacing="1" w:line="360" w:lineRule="auto"/>
        <w:ind w:firstLineChars="531" w:firstLine="1699"/>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PPP项目税收政策汇编</w:t>
      </w:r>
    </w:p>
    <w:p w:rsidR="00E85C6B" w:rsidRDefault="00E85C6B">
      <w:pPr>
        <w:widowControl/>
        <w:spacing w:before="100" w:beforeAutospacing="1" w:after="100" w:afterAutospacing="1" w:line="360" w:lineRule="auto"/>
        <w:jc w:val="left"/>
        <w:rPr>
          <w:rFonts w:ascii="仿宋" w:eastAsia="仿宋" w:hAnsi="仿宋" w:cs="宋体"/>
          <w:kern w:val="0"/>
          <w:sz w:val="32"/>
          <w:szCs w:val="32"/>
        </w:rPr>
      </w:pPr>
    </w:p>
    <w:p w:rsidR="00E85C6B" w:rsidRDefault="00E85C6B"/>
    <w:p w:rsidR="00DC32A0" w:rsidRDefault="00DC32A0"/>
    <w:p w:rsidR="00DC32A0" w:rsidRDefault="00DC32A0"/>
    <w:sectPr w:rsidR="00DC32A0">
      <w:headerReference w:type="default" r:id="rId8"/>
      <w:footerReference w:type="default" r:id="rId9"/>
      <w:pgSz w:w="11910" w:h="16840"/>
      <w:pgMar w:top="1500" w:right="1562" w:bottom="1380" w:left="1701" w:header="0" w:footer="1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22" w:rsidRDefault="00DC32A0">
      <w:r>
        <w:separator/>
      </w:r>
    </w:p>
  </w:endnote>
  <w:endnote w:type="continuationSeparator" w:id="0">
    <w:p w:rsidR="002A4422" w:rsidRDefault="00DC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6B" w:rsidRDefault="00DC32A0">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9792970</wp:posOffset>
              </wp:positionV>
              <wp:extent cx="192405" cy="139700"/>
              <wp:effectExtent l="0" t="0" r="17145"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rsidR="00E85C6B" w:rsidRDefault="00DC32A0">
                          <w:pPr>
                            <w:spacing w:line="203" w:lineRule="exact"/>
                            <w:ind w:left="60"/>
                            <w:rPr>
                              <w:rFonts w:ascii="Calibri"/>
                              <w:sz w:val="18"/>
                            </w:rPr>
                          </w:pPr>
                          <w:r>
                            <w:fldChar w:fldCharType="begin"/>
                          </w:r>
                          <w:r>
                            <w:rPr>
                              <w:rFonts w:ascii="Calibri"/>
                              <w:sz w:val="18"/>
                            </w:rPr>
                            <w:instrText xml:space="preserve"> PAGE </w:instrText>
                          </w:r>
                          <w:r>
                            <w:fldChar w:fldCharType="separate"/>
                          </w:r>
                          <w:r w:rsidR="00BE2090">
                            <w:rPr>
                              <w:rFonts w:ascii="Calibri"/>
                              <w:noProof/>
                              <w:sz w:val="18"/>
                            </w:rPr>
                            <w:t>12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1.1pt;margin-top:771.1pt;width:15.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" filled="f" stroked="f">
              <v:textbox inset="0,0,0,0">
                <w:txbxContent>
                  <w:p w:rsidR="00E85C6B" w:rsidRDefault="00DC32A0">
                    <w:pPr>
                      <w:spacing w:line="203" w:lineRule="exact"/>
                      <w:ind w:left="60"/>
                      <w:rPr>
                        <w:rFonts w:ascii="Calibri"/>
                        <w:sz w:val="18"/>
                      </w:rPr>
                    </w:pPr>
                    <w:r>
                      <w:fldChar w:fldCharType="begin"/>
                    </w:r>
                    <w:r>
                      <w:rPr>
                        <w:rFonts w:ascii="Calibri"/>
                        <w:sz w:val="18"/>
                      </w:rPr>
                      <w:instrText xml:space="preserve"> PAGE </w:instrText>
                    </w:r>
                    <w:r>
                      <w:fldChar w:fldCharType="separate"/>
                    </w:r>
                    <w:r w:rsidR="00BE2090">
                      <w:rPr>
                        <w:rFonts w:ascii="Calibri"/>
                        <w:noProof/>
                        <w:sz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22" w:rsidRDefault="00DC32A0">
      <w:r>
        <w:separator/>
      </w:r>
    </w:p>
  </w:footnote>
  <w:footnote w:type="continuationSeparator" w:id="0">
    <w:p w:rsidR="002A4422" w:rsidRDefault="00DC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6B" w:rsidRDefault="00E85C6B">
    <w:bookmarkStart w:id="2" w:name="_Hlk47692050"/>
    <w:bookmarkStart w:id="3" w:name="_Hlk47692049"/>
  </w:p>
  <w:p w:rsidR="00E85C6B" w:rsidRDefault="00E85C6B"/>
  <w:bookmarkEnd w:id="2"/>
  <w:bookmarkEnd w:id="3"/>
  <w:p w:rsidR="00E85C6B" w:rsidRDefault="00E85C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479D"/>
    <w:multiLevelType w:val="multilevel"/>
    <w:tmpl w:val="1E55479D"/>
    <w:lvl w:ilvl="0">
      <w:start w:val="1"/>
      <w:numFmt w:val="japaneseCounting"/>
      <w:lvlText w:val="第%1章"/>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YjZmZjBhMjU5OTdmZmNlNmU0NWQ1NGQ2OTcyZWQifQ=="/>
  </w:docVars>
  <w:rsids>
    <w:rsidRoot w:val="00D13B4E"/>
    <w:rsid w:val="000455AD"/>
    <w:rsid w:val="000F75FC"/>
    <w:rsid w:val="002A4422"/>
    <w:rsid w:val="00600217"/>
    <w:rsid w:val="006448B4"/>
    <w:rsid w:val="007C1315"/>
    <w:rsid w:val="0084055F"/>
    <w:rsid w:val="00B36523"/>
    <w:rsid w:val="00BE2090"/>
    <w:rsid w:val="00D13B4E"/>
    <w:rsid w:val="00D62F9C"/>
    <w:rsid w:val="00DC32A0"/>
    <w:rsid w:val="00E85C6B"/>
    <w:rsid w:val="00EC2A77"/>
    <w:rsid w:val="00FF6291"/>
    <w:rsid w:val="027B43B5"/>
    <w:rsid w:val="04820ADC"/>
    <w:rsid w:val="049F5128"/>
    <w:rsid w:val="063D08C1"/>
    <w:rsid w:val="06BB4119"/>
    <w:rsid w:val="08407581"/>
    <w:rsid w:val="08971B45"/>
    <w:rsid w:val="0AA14293"/>
    <w:rsid w:val="0CED3AA5"/>
    <w:rsid w:val="10D927FE"/>
    <w:rsid w:val="12B93408"/>
    <w:rsid w:val="1B281CA2"/>
    <w:rsid w:val="1C3B093E"/>
    <w:rsid w:val="1D7659BE"/>
    <w:rsid w:val="207E332B"/>
    <w:rsid w:val="231A43C4"/>
    <w:rsid w:val="250D7FC7"/>
    <w:rsid w:val="2668586D"/>
    <w:rsid w:val="268828FF"/>
    <w:rsid w:val="270D0281"/>
    <w:rsid w:val="28E05DEC"/>
    <w:rsid w:val="292063F9"/>
    <w:rsid w:val="29815569"/>
    <w:rsid w:val="2EE850B0"/>
    <w:rsid w:val="2F4777A0"/>
    <w:rsid w:val="30121BB9"/>
    <w:rsid w:val="30706AB2"/>
    <w:rsid w:val="30A170F7"/>
    <w:rsid w:val="30FD651B"/>
    <w:rsid w:val="3207394F"/>
    <w:rsid w:val="3297404E"/>
    <w:rsid w:val="34E04D91"/>
    <w:rsid w:val="3A954083"/>
    <w:rsid w:val="3B7A270B"/>
    <w:rsid w:val="3D5A5190"/>
    <w:rsid w:val="41222D30"/>
    <w:rsid w:val="43BC6C3E"/>
    <w:rsid w:val="44DE4B12"/>
    <w:rsid w:val="44FB5A20"/>
    <w:rsid w:val="46794D72"/>
    <w:rsid w:val="469F3A12"/>
    <w:rsid w:val="4ABF676F"/>
    <w:rsid w:val="4B3B3E64"/>
    <w:rsid w:val="4B5A2B99"/>
    <w:rsid w:val="4CA66E76"/>
    <w:rsid w:val="4CDC3C91"/>
    <w:rsid w:val="4FCE7D9E"/>
    <w:rsid w:val="503E02C1"/>
    <w:rsid w:val="53725A19"/>
    <w:rsid w:val="54C6369A"/>
    <w:rsid w:val="559342E4"/>
    <w:rsid w:val="56E12A0D"/>
    <w:rsid w:val="5B24602D"/>
    <w:rsid w:val="5D731EE5"/>
    <w:rsid w:val="5E1131A5"/>
    <w:rsid w:val="5F8E7F54"/>
    <w:rsid w:val="64CE210E"/>
    <w:rsid w:val="654C7BDB"/>
    <w:rsid w:val="685A77B9"/>
    <w:rsid w:val="68B81BD2"/>
    <w:rsid w:val="6B6316D7"/>
    <w:rsid w:val="6D3431C5"/>
    <w:rsid w:val="6DBF2D55"/>
    <w:rsid w:val="70B44766"/>
    <w:rsid w:val="717778BB"/>
    <w:rsid w:val="720E3EC0"/>
    <w:rsid w:val="72261558"/>
    <w:rsid w:val="7371287E"/>
    <w:rsid w:val="74BB768E"/>
    <w:rsid w:val="765C6AF6"/>
    <w:rsid w:val="796C2B17"/>
    <w:rsid w:val="79A37FF7"/>
    <w:rsid w:val="7A2F6206"/>
    <w:rsid w:val="7A53031B"/>
    <w:rsid w:val="7B400BA3"/>
    <w:rsid w:val="7C082BD7"/>
    <w:rsid w:val="7C3F0255"/>
    <w:rsid w:val="7CD579F1"/>
    <w:rsid w:val="7EC06A47"/>
    <w:rsid w:val="7F9B734D"/>
    <w:rsid w:val="7FB5601A"/>
    <w:rsid w:val="7FFA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56FC"/>
  <w15:docId w15:val="{CFEA2E43-E14B-43B2-BF94-D6AB5A1C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val="0"/>
      <w:autoSpaceDN w:val="0"/>
      <w:jc w:val="left"/>
    </w:pPr>
    <w:rPr>
      <w:rFonts w:ascii="仿宋" w:eastAsia="仿宋" w:hAnsi="仿宋" w:cs="仿宋"/>
      <w:kern w:val="0"/>
      <w:sz w:val="22"/>
    </w:r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annotation subject"/>
    <w:basedOn w:val="a3"/>
    <w:next w:val="a3"/>
    <w:link w:val="aa"/>
    <w:uiPriority w:val="99"/>
    <w:semiHidden/>
    <w:unhideWhenUsed/>
    <w:qFormat/>
    <w:pPr>
      <w:autoSpaceDE/>
      <w:autoSpaceDN/>
    </w:pPr>
    <w:rPr>
      <w:rFonts w:asciiTheme="minorHAnsi" w:eastAsiaTheme="minorEastAsia" w:hAnsiTheme="minorHAnsi" w:cstheme="minorBidi"/>
      <w:b/>
      <w:bCs/>
      <w:kern w:val="2"/>
      <w:sz w:val="21"/>
    </w:rPr>
  </w:style>
  <w:style w:type="character" w:styleId="ab">
    <w:name w:val="Emphasis"/>
    <w:basedOn w:val="a0"/>
    <w:uiPriority w:val="20"/>
    <w:qFormat/>
    <w:rPr>
      <w:i/>
    </w:rPr>
  </w:style>
  <w:style w:type="character" w:styleId="ac">
    <w:name w:val="annotation reference"/>
    <w:basedOn w:val="a0"/>
    <w:uiPriority w:val="99"/>
    <w:semiHidden/>
    <w:unhideWhenUsed/>
    <w:qFormat/>
    <w:rPr>
      <w:sz w:val="21"/>
      <w:szCs w:val="21"/>
    </w:rPr>
  </w:style>
  <w:style w:type="character" w:customStyle="1" w:styleId="a6">
    <w:name w:val="正文文本 字符"/>
    <w:basedOn w:val="a0"/>
    <w:link w:val="a5"/>
    <w:uiPriority w:val="99"/>
    <w:semiHidden/>
    <w:qFormat/>
  </w:style>
  <w:style w:type="character" w:customStyle="1" w:styleId="a4">
    <w:name w:val="批注文字 字符"/>
    <w:basedOn w:val="a0"/>
    <w:link w:val="a3"/>
    <w:qFormat/>
    <w:rPr>
      <w:rFonts w:ascii="仿宋" w:eastAsia="仿宋" w:hAnsi="仿宋" w:cs="仿宋"/>
      <w:kern w:val="0"/>
      <w:sz w:val="22"/>
    </w:rPr>
  </w:style>
  <w:style w:type="character" w:customStyle="1" w:styleId="a8">
    <w:name w:val="批注框文本 字符"/>
    <w:basedOn w:val="a0"/>
    <w:link w:val="a7"/>
    <w:uiPriority w:val="99"/>
    <w:semiHidden/>
    <w:qFormat/>
    <w:rPr>
      <w:sz w:val="18"/>
      <w:szCs w:val="18"/>
    </w:rPr>
  </w:style>
  <w:style w:type="character" w:customStyle="1" w:styleId="aa">
    <w:name w:val="批注主题 字符"/>
    <w:basedOn w:val="a4"/>
    <w:link w:val="a9"/>
    <w:uiPriority w:val="99"/>
    <w:semiHidden/>
    <w:qFormat/>
    <w:rPr>
      <w:rFonts w:ascii="仿宋" w:eastAsia="仿宋" w:hAnsi="仿宋" w:cs="仿宋"/>
      <w:b/>
      <w:bCs/>
      <w:kern w:val="0"/>
      <w:sz w:val="22"/>
    </w:rPr>
  </w:style>
  <w:style w:type="paragraph" w:styleId="ad">
    <w:name w:val="header"/>
    <w:basedOn w:val="a"/>
    <w:link w:val="ae"/>
    <w:uiPriority w:val="99"/>
    <w:unhideWhenUsed/>
    <w:rsid w:val="00D62F9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D62F9C"/>
    <w:rPr>
      <w:rFonts w:asciiTheme="minorHAnsi" w:eastAsiaTheme="minorEastAsia" w:hAnsiTheme="minorHAnsi" w:cstheme="minorBidi"/>
      <w:kern w:val="2"/>
      <w:sz w:val="18"/>
      <w:szCs w:val="18"/>
    </w:rPr>
  </w:style>
  <w:style w:type="paragraph" w:styleId="af">
    <w:name w:val="footer"/>
    <w:basedOn w:val="a"/>
    <w:link w:val="af0"/>
    <w:uiPriority w:val="99"/>
    <w:unhideWhenUsed/>
    <w:rsid w:val="00D62F9C"/>
    <w:pPr>
      <w:tabs>
        <w:tab w:val="center" w:pos="4153"/>
        <w:tab w:val="right" w:pos="8306"/>
      </w:tabs>
      <w:snapToGrid w:val="0"/>
      <w:jc w:val="left"/>
    </w:pPr>
    <w:rPr>
      <w:sz w:val="18"/>
      <w:szCs w:val="18"/>
    </w:rPr>
  </w:style>
  <w:style w:type="character" w:customStyle="1" w:styleId="af0">
    <w:name w:val="页脚 字符"/>
    <w:basedOn w:val="a0"/>
    <w:link w:val="af"/>
    <w:uiPriority w:val="99"/>
    <w:rsid w:val="00D62F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1788</Words>
  <Characters>10194</Characters>
  <Application>Microsoft Office Word</Application>
  <DocSecurity>0</DocSecurity>
  <Lines>84</Lines>
  <Paragraphs>23</Paragraphs>
  <ScaleCrop>false</ScaleCrop>
  <Company>Lenovo</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李頔</dc:creator>
  <cp:lastModifiedBy>李頔</cp:lastModifiedBy>
  <cp:revision>7</cp:revision>
  <cp:lastPrinted>2023-06-19T07:44:00Z</cp:lastPrinted>
  <dcterms:created xsi:type="dcterms:W3CDTF">2023-04-21T07:24:00Z</dcterms:created>
  <dcterms:modified xsi:type="dcterms:W3CDTF">2023-06-19T07:46:00Z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FF4CAA31F1CB448D856F6E4CA0C1D2DC_13</vt:lpwstr>
  </property>
</Properties>
</file>