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EB7E9">
      <w:pPr>
        <w:jc w:val="center"/>
        <w:rPr>
          <w:rFonts w:ascii="黑体" w:hAnsi="宋体" w:eastAsia="黑体" w:cs="宋体"/>
          <w:kern w:val="0"/>
          <w:sz w:val="28"/>
          <w:szCs w:val="28"/>
        </w:rPr>
      </w:pPr>
      <w:bookmarkStart w:id="13" w:name="_GoBack"/>
      <w:bookmarkEnd w:id="13"/>
    </w:p>
    <w:p w14:paraId="5799F0D8">
      <w:pPr>
        <w:spacing w:before="624" w:beforeLines="200"/>
        <w:jc w:val="center"/>
        <w:rPr>
          <w:rFonts w:ascii="黑体" w:eastAsia="黑体"/>
          <w:b/>
          <w:color w:val="EE0000"/>
          <w:spacing w:val="26"/>
          <w:kern w:val="10"/>
          <w:sz w:val="72"/>
          <w:szCs w:val="84"/>
        </w:rPr>
      </w:pPr>
    </w:p>
    <w:p w14:paraId="1B6A017C">
      <w:pPr>
        <w:spacing w:line="360" w:lineRule="auto"/>
        <w:jc w:val="center"/>
        <w:rPr>
          <w:rFonts w:ascii="黑体" w:eastAsia="黑体"/>
          <w:b/>
          <w:color w:val="EE0000"/>
          <w:kern w:val="10"/>
          <w:sz w:val="84"/>
          <w:szCs w:val="84"/>
        </w:rPr>
      </w:pPr>
      <w:r>
        <w:rPr>
          <w:lang/>
        </w:rPr>
        <w:pict>
          <v:shape id="_x0000_s1029" o:spid="_x0000_s1029" o:spt="136" type="#_x0000_t136" style="position:absolute;left:0pt;margin-left:-18pt;margin-top:1.85pt;height:42.75pt;width:459.75pt;z-index:251660288;mso-width-relative:page;mso-height-relative:page;" fillcolor="#FF0000" coordsize="21600,21600">
            <v:path/>
            <v:fill focussize="0,0"/>
            <v:stroke color="#FF0000"/>
            <v:imagedata o:title=""/>
            <o:lock v:ext="edit"/>
            <v:textpath on="t" fitshape="t" fitpath="t" trim="t" xscale="f" string="中国注册税务师协会文件" style="font-family:黑体;font-size:40pt;v-text-align:center;"/>
          </v:shape>
        </w:pict>
      </w:r>
    </w:p>
    <w:p w14:paraId="5C16A530">
      <w:pPr>
        <w:jc w:val="center"/>
        <w:rPr>
          <w:rFonts w:ascii="黑体" w:eastAsia="黑体"/>
          <w:b/>
          <w:color w:val="EE0000"/>
          <w:kern w:val="10"/>
          <w:sz w:val="72"/>
          <w:szCs w:val="72"/>
        </w:rPr>
      </w:pPr>
    </w:p>
    <w:p w14:paraId="5386265B">
      <w:pPr>
        <w:spacing w:line="360" w:lineRule="auto"/>
        <w:jc w:val="center"/>
        <w:rPr>
          <w:rFonts w:ascii="仿宋" w:hAnsi="仿宋" w:eastAsia="仿宋"/>
          <w:b/>
          <w:kern w:val="10"/>
          <w:sz w:val="32"/>
          <w:szCs w:val="32"/>
        </w:rPr>
      </w:pPr>
      <w:bookmarkStart w:id="0" w:name="文号"/>
      <w:r>
        <w:rPr>
          <w:rFonts w:hint="eastAsia" w:ascii="仿宋" w:hAnsi="仿宋" w:eastAsia="仿宋"/>
          <w:b/>
          <w:kern w:val="10"/>
          <w:sz w:val="32"/>
          <w:szCs w:val="32"/>
        </w:rPr>
        <w:t>中税协秘发〔</w:t>
      </w:r>
      <w:r>
        <w:rPr>
          <w:rFonts w:ascii="仿宋" w:hAnsi="仿宋" w:eastAsia="仿宋"/>
          <w:b/>
          <w:kern w:val="10"/>
          <w:sz w:val="32"/>
          <w:szCs w:val="32"/>
        </w:rPr>
        <w:t>2024〕67号</w:t>
      </w:r>
      <w:bookmarkEnd w:id="0"/>
    </w:p>
    <w:p w14:paraId="5D92302D">
      <w:pPr>
        <w:widowControl/>
        <w:spacing w:line="360" w:lineRule="auto"/>
        <w:jc w:val="center"/>
        <w:rPr>
          <w:rFonts w:ascii="黑体" w:hAnsi="黑体" w:eastAsia="黑体"/>
          <w:b/>
          <w:bCs/>
          <w:kern w:val="10"/>
          <w:sz w:val="32"/>
          <w:szCs w:val="32"/>
        </w:rPr>
      </w:pPr>
      <w:r>
        <w:rPr>
          <w:rFonts w:ascii="黑体" w:eastAsia="黑体"/>
          <w:b/>
          <w:kern w:val="10"/>
          <w:sz w:val="32"/>
          <w:szCs w:val="32"/>
          <w:lang/>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57785</wp:posOffset>
                </wp:positionV>
                <wp:extent cx="5715000" cy="26035"/>
                <wp:effectExtent l="0" t="19050" r="0" b="31115"/>
                <wp:wrapNone/>
                <wp:docPr id="1" name="直线 2"/>
                <wp:cNvGraphicFramePr/>
                <a:graphic xmlns:a="http://schemas.openxmlformats.org/drawingml/2006/main">
                  <a:graphicData uri="http://schemas.microsoft.com/office/word/2010/wordprocessingShape">
                    <wps:wsp>
                      <wps:cNvSpPr/>
                      <wps:spPr>
                        <a:xfrm flipV="1">
                          <a:off x="0" y="0"/>
                          <a:ext cx="5715000" cy="26035"/>
                        </a:xfrm>
                        <a:prstGeom prst="line">
                          <a:avLst/>
                        </a:prstGeom>
                        <a:ln w="38100" cap="flat" cmpd="sng">
                          <a:solidFill>
                            <a:srgbClr val="D2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4.6pt;margin-top:4.55pt;height:2.05pt;width:450pt;z-index:251659264;mso-width-relative:page;mso-height-relative:page;" filled="f" stroked="t" coordsize="21600,21600" o:gfxdata="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z/3zU1AAAAAcBAAAPAAAAAAAAAAEAIAAAACIAAABkcnMvZG93bnJldi54bWxQSwECFAAUAAAA&#10;CACHTuJAUIMrAfIBAADqAwAADgAAAAAAAAABACAAAAAjAQAAZHJzL2Uyb0RvYy54bWxQSwUGAAAA&#10;AAYABgBZAQAAhwUAAAAA&#10;">
                <v:fill on="f" focussize="0,0"/>
                <v:stroke weight="3pt" color="#D20000" joinstyle="round"/>
                <v:imagedata o:title=""/>
                <o:lock v:ext="edit" aspectratio="f"/>
              </v:line>
            </w:pict>
          </mc:Fallback>
        </mc:AlternateContent>
      </w:r>
      <w:r>
        <w:rPr>
          <w:rFonts w:hint="eastAsia" w:ascii="黑体" w:hAnsi="黑体" w:eastAsia="黑体"/>
          <w:b/>
          <w:bCs/>
          <w:kern w:val="10"/>
          <w:sz w:val="32"/>
          <w:szCs w:val="32"/>
        </w:rPr>
        <w:t xml:space="preserve">  </w:t>
      </w:r>
    </w:p>
    <w:p w14:paraId="6622C8EC">
      <w:pPr>
        <w:tabs>
          <w:tab w:val="left" w:pos="420"/>
          <w:tab w:val="left" w:pos="9240"/>
        </w:tabs>
        <w:spacing w:line="360" w:lineRule="auto"/>
        <w:jc w:val="center"/>
        <w:rPr>
          <w:rFonts w:hint="eastAsia" w:ascii="宋体" w:hAnsi="宋体"/>
          <w:b/>
          <w:bCs/>
          <w:kern w:val="10"/>
          <w:sz w:val="44"/>
          <w:szCs w:val="44"/>
        </w:rPr>
      </w:pPr>
      <w:bookmarkStart w:id="1" w:name="发文标题"/>
      <w:r>
        <w:rPr>
          <w:rFonts w:hint="eastAsia" w:ascii="宋体" w:hAnsi="宋体"/>
          <w:b/>
          <w:bCs/>
          <w:kern w:val="10"/>
          <w:sz w:val="44"/>
          <w:szCs w:val="44"/>
        </w:rPr>
        <w:t>关于印发《税务师事务所业务</w:t>
      </w:r>
    </w:p>
    <w:p w14:paraId="463C95F8">
      <w:pPr>
        <w:tabs>
          <w:tab w:val="left" w:pos="420"/>
          <w:tab w:val="left" w:pos="9240"/>
        </w:tabs>
        <w:spacing w:line="360" w:lineRule="auto"/>
        <w:jc w:val="center"/>
        <w:rPr>
          <w:rFonts w:ascii="宋体" w:hAnsi="宋体"/>
          <w:b/>
          <w:bCs/>
          <w:kern w:val="10"/>
          <w:sz w:val="44"/>
          <w:szCs w:val="44"/>
        </w:rPr>
      </w:pPr>
      <w:r>
        <w:rPr>
          <w:rFonts w:hint="eastAsia" w:ascii="宋体" w:hAnsi="宋体"/>
          <w:b/>
          <w:bCs/>
          <w:kern w:val="10"/>
          <w:sz w:val="44"/>
          <w:szCs w:val="44"/>
        </w:rPr>
        <w:t>拓展参考文件汇编》的通知</w:t>
      </w:r>
      <w:bookmarkEnd w:id="1"/>
    </w:p>
    <w:p w14:paraId="589C1795">
      <w:pPr>
        <w:widowControl/>
        <w:jc w:val="left"/>
        <w:rPr>
          <w:rFonts w:hint="eastAsia" w:ascii="仿宋" w:hAnsi="仿宋" w:eastAsia="仿宋"/>
          <w:sz w:val="32"/>
          <w:szCs w:val="32"/>
        </w:rPr>
      </w:pPr>
    </w:p>
    <w:p w14:paraId="7B70601E">
      <w:pPr>
        <w:widowControl/>
        <w:jc w:val="left"/>
        <w:rPr>
          <w:rFonts w:hint="eastAsia" w:ascii="仿宋" w:hAnsi="仿宋" w:eastAsia="仿宋"/>
          <w:spacing w:val="8"/>
          <w:sz w:val="32"/>
          <w:szCs w:val="32"/>
        </w:rPr>
      </w:pPr>
      <w:r>
        <w:rPr>
          <w:rFonts w:hint="eastAsia" w:ascii="仿宋" w:hAnsi="仿宋" w:eastAsia="仿宋"/>
          <w:spacing w:val="8"/>
          <w:sz w:val="32"/>
          <w:szCs w:val="32"/>
        </w:rPr>
        <w:t>各省、自治区、直辖市和计划单列市注册税务师协会：</w:t>
      </w:r>
    </w:p>
    <w:p w14:paraId="76E732B3">
      <w:pPr>
        <w:widowControl/>
        <w:ind w:firstLine="672" w:firstLineChars="200"/>
        <w:jc w:val="left"/>
        <w:rPr>
          <w:rFonts w:hint="eastAsia" w:ascii="仿宋" w:hAnsi="仿宋" w:eastAsia="仿宋"/>
          <w:spacing w:val="8"/>
          <w:sz w:val="32"/>
          <w:szCs w:val="32"/>
        </w:rPr>
      </w:pPr>
      <w:r>
        <w:rPr>
          <w:rFonts w:hint="eastAsia" w:ascii="仿宋" w:hAnsi="仿宋" w:eastAsia="仿宋"/>
          <w:spacing w:val="8"/>
          <w:sz w:val="32"/>
          <w:szCs w:val="32"/>
        </w:rPr>
        <w:t>根据中税协七届二次理事会的工作部署，为帮助广大税务师事务所更好地创新服务产品，拓展业务市场，中税协秘书处对近年来出台的法律、法规、部门规章以及其他规范性文件进行了梳理，系统地整理出与涉税专业服务相关的条文及内容，并针对性提出业务拓展的意见建议，形成了《税务师事务所业务拓展参考文件汇编》，现印发各地税协及会员参考。</w:t>
      </w:r>
    </w:p>
    <w:p w14:paraId="72681148">
      <w:pPr>
        <w:widowControl/>
        <w:ind w:firstLine="672" w:firstLineChars="200"/>
        <w:jc w:val="left"/>
        <w:rPr>
          <w:rFonts w:hint="eastAsia" w:ascii="仿宋" w:hAnsi="仿宋" w:eastAsia="仿宋"/>
          <w:spacing w:val="8"/>
          <w:sz w:val="32"/>
          <w:szCs w:val="32"/>
        </w:rPr>
      </w:pPr>
      <w:r>
        <w:rPr>
          <w:rFonts w:hint="eastAsia" w:ascii="仿宋" w:hAnsi="仿宋" w:eastAsia="仿宋"/>
          <w:spacing w:val="8"/>
          <w:sz w:val="32"/>
          <w:szCs w:val="32"/>
        </w:rPr>
        <w:t>各地税协要按照刘丽坚会长在中税协七届二次理事会上的讲话要求，充分发挥协会的桥梁纽带作用，加强与有关部门沟通协调，引导税务师事务所根据市场变化和纳税人缴费人的个性化需求，充分依据《税务师事务所业务拓展参考文件汇编》中的法律法规和政策性文件，积极拓展新业务，打造新产品，切实提升行业的市场竞争力。同时，请各地税协及时收集广大会员在实际工作中的意见建议并反馈给中税协秘书处。</w:t>
      </w:r>
    </w:p>
    <w:p w14:paraId="39AA3F81">
      <w:pPr>
        <w:widowControl/>
        <w:ind w:firstLine="672" w:firstLineChars="200"/>
        <w:jc w:val="left"/>
        <w:rPr>
          <w:rFonts w:ascii="仿宋" w:hAnsi="仿宋" w:eastAsia="仿宋"/>
          <w:spacing w:val="8"/>
          <w:sz w:val="32"/>
          <w:szCs w:val="32"/>
        </w:rPr>
      </w:pPr>
      <w:r>
        <w:rPr>
          <w:rFonts w:hint="eastAsia" w:ascii="仿宋" w:hAnsi="仿宋" w:eastAsia="仿宋"/>
          <w:spacing w:val="8"/>
          <w:sz w:val="32"/>
          <w:szCs w:val="32"/>
        </w:rPr>
        <w:t>联系人及联系电话：杨昳，010-83755846。</w:t>
      </w:r>
    </w:p>
    <w:p w14:paraId="7800F433">
      <w:pPr>
        <w:widowControl/>
        <w:jc w:val="left"/>
        <w:rPr>
          <w:rFonts w:ascii="楷体" w:hAnsi="楷体" w:eastAsia="楷体"/>
          <w:spacing w:val="8"/>
          <w:sz w:val="32"/>
          <w:szCs w:val="32"/>
        </w:rPr>
      </w:pPr>
    </w:p>
    <w:p w14:paraId="40D380E3">
      <w:pPr>
        <w:widowControl/>
        <w:ind w:firstLine="672" w:firstLineChars="200"/>
        <w:jc w:val="left"/>
        <w:rPr>
          <w:rFonts w:hint="eastAsia" w:ascii="仿宋" w:hAnsi="仿宋" w:eastAsia="仿宋"/>
          <w:spacing w:val="8"/>
          <w:sz w:val="32"/>
          <w:szCs w:val="32"/>
        </w:rPr>
      </w:pPr>
      <w:r>
        <w:rPr>
          <w:rFonts w:hint="eastAsia" w:ascii="仿宋" w:hAnsi="仿宋" w:eastAsia="仿宋"/>
          <w:spacing w:val="8"/>
          <w:sz w:val="32"/>
          <w:szCs w:val="32"/>
        </w:rPr>
        <w:t>附件：《税务师事务所业务拓展参考文件汇编》</w:t>
      </w:r>
    </w:p>
    <w:p w14:paraId="1F90E6D1">
      <w:pPr>
        <w:widowControl/>
        <w:ind w:firstLine="672" w:firstLineChars="200"/>
        <w:jc w:val="left"/>
        <w:rPr>
          <w:rFonts w:hint="eastAsia" w:ascii="仿宋" w:hAnsi="仿宋" w:eastAsia="仿宋"/>
          <w:spacing w:val="8"/>
          <w:sz w:val="32"/>
          <w:szCs w:val="32"/>
        </w:rPr>
      </w:pPr>
    </w:p>
    <w:p w14:paraId="1DA0BE3E">
      <w:pPr>
        <w:widowControl/>
        <w:ind w:firstLine="672" w:firstLineChars="200"/>
        <w:jc w:val="left"/>
        <w:rPr>
          <w:rFonts w:hint="eastAsia" w:ascii="仿宋" w:hAnsi="仿宋" w:eastAsia="仿宋"/>
          <w:spacing w:val="8"/>
          <w:sz w:val="32"/>
          <w:szCs w:val="32"/>
        </w:rPr>
      </w:pPr>
      <w:r>
        <w:rPr>
          <w:rFonts w:hint="eastAsia" w:ascii="仿宋" w:hAnsi="仿宋" w:eastAsia="仿宋"/>
          <w:spacing w:val="8"/>
          <w:sz w:val="32"/>
          <w:szCs w:val="32"/>
        </w:rPr>
        <w:t xml:space="preserve">                   </w:t>
      </w:r>
    </w:p>
    <w:p w14:paraId="3CEFBEE1">
      <w:pPr>
        <w:rPr>
          <w:rFonts w:ascii="仿宋" w:hAnsi="仿宋" w:eastAsia="仿宋"/>
          <w:sz w:val="32"/>
          <w:szCs w:val="32"/>
        </w:rPr>
      </w:pPr>
    </w:p>
    <w:p w14:paraId="4F5D1558">
      <w:pPr>
        <w:ind w:firstLine="504" w:firstLineChars="196"/>
        <w:rPr>
          <w:rFonts w:ascii="黑体" w:hAnsi="Times New Roman" w:eastAsia="黑体"/>
          <w:b/>
          <w:w w:val="80"/>
          <w:sz w:val="32"/>
          <w:szCs w:val="32"/>
          <w:lang/>
        </w:rPr>
      </w:pPr>
    </w:p>
    <w:p w14:paraId="64D9DB51">
      <w:pPr>
        <w:ind w:firstLine="627" w:firstLineChars="196"/>
        <w:rPr>
          <w:rFonts w:ascii="仿宋" w:hAnsi="仿宋" w:eastAsia="仿宋"/>
          <w:sz w:val="32"/>
          <w:szCs w:val="32"/>
          <w:lang/>
        </w:rPr>
      </w:pPr>
      <w:r>
        <w:rPr>
          <w:rFonts w:hint="eastAsia" w:ascii="仿宋" w:hAnsi="仿宋" w:eastAsia="仿宋"/>
          <w:sz w:val="32"/>
          <w:szCs w:val="32"/>
          <w:lang/>
        </w:rPr>
        <w:pict>
          <v:shape id="_x0000_s1037" o:spid="_x0000_s1037" o:spt="201" type="#_x0000_t201" style="position:absolute;left:0pt;margin-left:340.5pt;margin-top:426.3pt;height:126.75pt;width:127.5pt;mso-position-horizontal-relative:page;mso-position-vertical-relative:page;z-index:-251652096;mso-width-relative:page;mso-height-relative:page;" o:ole="t" filled="f" stroked="f" coordsize="21600,21600">
            <v:path/>
            <v:fill on="f" focussize="0,0"/>
            <v:stroke on="f"/>
            <v:imagedata r:id="rId5" o:title=""/>
            <o:lock v:ext="edit"/>
          </v:shape>
          <w:control r:id="rId4" w:name="SignatureCtrl1" w:shapeid="_x0000_s1037"/>
        </w:pict>
      </w:r>
      <w:r>
        <w:rPr>
          <w:rFonts w:hint="eastAsia" w:ascii="仿宋" w:hAnsi="仿宋" w:eastAsia="仿宋"/>
          <w:sz w:val="32"/>
          <w:szCs w:val="32"/>
          <w:lang/>
        </w:rPr>
        <w:t xml:space="preserve">                      中国注册税务师协会秘书处</w:t>
      </w:r>
    </w:p>
    <w:p w14:paraId="624DCD82">
      <w:pPr>
        <w:ind w:firstLine="5104" w:firstLineChars="1595"/>
        <w:rPr>
          <w:rFonts w:hint="eastAsia" w:ascii="仿宋" w:hAnsi="仿宋" w:eastAsia="仿宋"/>
          <w:sz w:val="32"/>
          <w:szCs w:val="32"/>
          <w:lang/>
        </w:rPr>
      </w:pPr>
      <w:r>
        <w:rPr>
          <w:rFonts w:hint="eastAsia" w:ascii="仿宋" w:hAnsi="仿宋" w:eastAsia="仿宋"/>
          <w:sz w:val="32"/>
          <w:szCs w:val="32"/>
          <w:lang/>
        </w:rPr>
        <w:t>2024年9月6日</w:t>
      </w:r>
    </w:p>
    <w:p w14:paraId="5AECD3D4">
      <w:pPr>
        <w:ind w:firstLine="5104" w:firstLineChars="1595"/>
        <w:rPr>
          <w:rFonts w:hint="eastAsia" w:ascii="仿宋" w:hAnsi="仿宋" w:eastAsia="仿宋"/>
          <w:sz w:val="32"/>
          <w:szCs w:val="32"/>
          <w:lang/>
        </w:rPr>
      </w:pPr>
    </w:p>
    <w:p w14:paraId="78DCBE32">
      <w:pPr>
        <w:ind w:firstLine="5104" w:firstLineChars="1595"/>
        <w:rPr>
          <w:rFonts w:hint="eastAsia" w:ascii="仿宋" w:hAnsi="仿宋" w:eastAsia="仿宋"/>
          <w:sz w:val="32"/>
          <w:szCs w:val="32"/>
          <w:lang/>
        </w:rPr>
      </w:pPr>
    </w:p>
    <w:p w14:paraId="0904E0B8">
      <w:pPr>
        <w:ind w:firstLine="4083" w:firstLineChars="1595"/>
        <w:rPr>
          <w:rFonts w:ascii="仿宋" w:hAnsi="仿宋" w:eastAsia="仿宋"/>
          <w:w w:val="80"/>
          <w:sz w:val="32"/>
          <w:szCs w:val="32"/>
          <w:lang/>
        </w:rPr>
      </w:pPr>
    </w:p>
    <w:p w14:paraId="6C9CB16D">
      <w:pPr>
        <w:rPr>
          <w:rFonts w:hint="eastAsia" w:ascii="仿宋" w:hAnsi="仿宋" w:eastAsia="仿宋"/>
          <w:sz w:val="28"/>
          <w:szCs w:val="28"/>
        </w:rPr>
      </w:pPr>
      <w:r>
        <w:rPr>
          <w:rFonts w:hint="eastAsia" w:ascii="仿宋" w:hAnsi="仿宋" w:eastAsia="仿宋"/>
          <w:sz w:val="28"/>
          <w:szCs w:val="28"/>
        </w:rPr>
        <w:t>（只发电子件）</w:t>
      </w:r>
      <w:bookmarkStart w:id="2" w:name="抄报"/>
      <w:bookmarkEnd w:id="2"/>
    </w:p>
    <w:p w14:paraId="0C145935">
      <w:pPr>
        <w:rPr>
          <w:rFonts w:ascii="仿宋" w:hAnsi="仿宋" w:eastAsia="仿宋"/>
          <w:sz w:val="28"/>
          <w:szCs w:val="28"/>
        </w:rPr>
      </w:pPr>
      <w:r>
        <w:rPr>
          <w:rFonts w:ascii="仿宋" w:hAnsi="仿宋" w:eastAsia="仿宋"/>
          <w:sz w:val="28"/>
          <w:szCs w:val="28"/>
          <w:lang/>
        </w:rPr>
        <mc:AlternateContent>
          <mc:Choice Requires="wps">
            <w:drawing>
              <wp:anchor distT="0" distB="0" distL="114300" distR="114300" simplePos="0" relativeHeight="251663360" behindDoc="0" locked="0" layoutInCell="0" allowOverlap="1">
                <wp:simplePos x="0" y="0"/>
                <wp:positionH relativeFrom="column">
                  <wp:posOffset>-48260</wp:posOffset>
                </wp:positionH>
                <wp:positionV relativeFrom="paragraph">
                  <wp:posOffset>1905</wp:posOffset>
                </wp:positionV>
                <wp:extent cx="5382260" cy="0"/>
                <wp:effectExtent l="0" t="6350" r="0" b="6350"/>
                <wp:wrapNone/>
                <wp:docPr id="4" name="直线 10"/>
                <wp:cNvGraphicFramePr/>
                <a:graphic xmlns:a="http://schemas.openxmlformats.org/drawingml/2006/main">
                  <a:graphicData uri="http://schemas.microsoft.com/office/word/2010/wordprocessingShape">
                    <wps:wsp>
                      <wps:cNvSpPr/>
                      <wps:spPr>
                        <a:xfrm>
                          <a:off x="0" y="0"/>
                          <a:ext cx="538226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3.8pt;margin-top:0.15pt;height:0pt;width:423.8pt;z-index:251663360;mso-width-relative:page;mso-height-relative:page;" filled="f" stroked="t" coordsize="21600,21600" o:allowincell="f" o:gfxdata="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stu6tQAAAAE&#10;AQAADwAAAAAAAAABACAAAAAiAAAAZHJzL2Rvd25yZXYueG1sUEsBAhQAFAAAAAgAh07iQGeH007n&#10;AQAA3QMAAA4AAAAAAAAAAQAgAAAAIwEAAGRycy9lMm9Eb2MueG1sUEsFBgAAAAAGAAYAWQEAAHwF&#10;AAAAAA==&#10;">
                <v:fill on="f" focussize="0,0"/>
                <v:stroke weight="1pt" color="#000000" joinstyle="round"/>
                <v:imagedata o:title=""/>
                <o:lock v:ext="edit" aspectratio="f"/>
              </v:line>
            </w:pict>
          </mc:Fallback>
        </mc:AlternateContent>
      </w:r>
      <w:r>
        <w:rPr>
          <w:rFonts w:hint="eastAsia" w:ascii="仿宋" w:hAnsi="仿宋" w:eastAsia="仿宋"/>
          <w:sz w:val="28"/>
          <w:szCs w:val="28"/>
        </w:rPr>
        <w:t>抄送：</w:t>
      </w:r>
      <w:bookmarkStart w:id="3" w:name="抄送"/>
      <w:bookmarkEnd w:id="3"/>
      <w:r>
        <w:rPr>
          <w:rFonts w:hint="eastAsia" w:ascii="仿宋" w:hAnsi="仿宋" w:eastAsia="仿宋"/>
          <w:sz w:val="28"/>
          <w:szCs w:val="28"/>
        </w:rPr>
        <w:t>会领导</w:t>
      </w:r>
    </w:p>
    <w:p w14:paraId="60EB37DB">
      <w:pPr>
        <w:ind w:right="-321"/>
        <w:rPr>
          <w:rFonts w:ascii="仿宋" w:hAnsi="仿宋" w:eastAsia="仿宋"/>
          <w:sz w:val="28"/>
          <w:szCs w:val="28"/>
        </w:rPr>
      </w:pPr>
      <w:r>
        <w:rPr>
          <w:rFonts w:ascii="仿宋" w:hAnsi="仿宋" w:eastAsia="仿宋"/>
          <w:sz w:val="28"/>
          <w:szCs w:val="28"/>
          <w:lang/>
        </w:rPr>
        <mc:AlternateContent>
          <mc:Choice Requires="wps">
            <w:drawing>
              <wp:anchor distT="0" distB="0" distL="114300" distR="114300" simplePos="0" relativeHeight="251661312" behindDoc="0" locked="0" layoutInCell="0" allowOverlap="1">
                <wp:simplePos x="0" y="0"/>
                <wp:positionH relativeFrom="column">
                  <wp:posOffset>-48260</wp:posOffset>
                </wp:positionH>
                <wp:positionV relativeFrom="paragraph">
                  <wp:posOffset>3810</wp:posOffset>
                </wp:positionV>
                <wp:extent cx="5382260" cy="0"/>
                <wp:effectExtent l="0" t="6350" r="0" b="6350"/>
                <wp:wrapNone/>
                <wp:docPr id="2" name="直线 8"/>
                <wp:cNvGraphicFramePr/>
                <a:graphic xmlns:a="http://schemas.openxmlformats.org/drawingml/2006/main">
                  <a:graphicData uri="http://schemas.microsoft.com/office/word/2010/wordprocessingShape">
                    <wps:wsp>
                      <wps:cNvSpPr/>
                      <wps:spPr>
                        <a:xfrm>
                          <a:off x="0" y="0"/>
                          <a:ext cx="538226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3.8pt;margin-top:0.3pt;height:0pt;width:423.8pt;z-index:251661312;mso-width-relative:page;mso-height-relative:page;" filled="f" stroked="t" coordsize="21600,21600" o:allowincell="f" o:gfxdata="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5Tb2LVAAAA&#10;BAEAAA8AAAAAAAAAAQAgAAAAIgAAAGRycy9kb3ducmV2LnhtbFBLAQIUABQAAAAIAIdO4kA9XFNB&#10;5wEAANwDAAAOAAAAAAAAAAEAIAAAACQBAABkcnMvZTJvRG9jLnhtbFBLBQYAAAAABgAGAFkBAAB9&#10;BQAAAAA=&#10;">
                <v:fill on="f" focussize="0,0"/>
                <v:stroke weight="1pt" color="#000000" joinstyle="round"/>
                <v:imagedata o:title=""/>
                <o:lock v:ext="edit" aspectratio="f"/>
              </v:line>
            </w:pict>
          </mc:Fallback>
        </mc:AlternateContent>
      </w:r>
      <w:r>
        <w:rPr>
          <w:rFonts w:hint="eastAsia" w:ascii="仿宋" w:hAnsi="仿宋" w:eastAsia="仿宋"/>
          <w:sz w:val="28"/>
          <w:szCs w:val="28"/>
          <w:lang/>
        </w:rPr>
        <w:t>中国注册税务师协会办公室</w:t>
      </w:r>
      <w:r>
        <w:rPr>
          <w:rFonts w:hint="eastAsia" w:ascii="仿宋" w:hAnsi="仿宋" w:eastAsia="仿宋"/>
          <w:sz w:val="28"/>
          <w:szCs w:val="28"/>
        </w:rPr>
        <w:t xml:space="preserve">               </w:t>
      </w:r>
      <w:r>
        <w:rPr>
          <w:rFonts w:ascii="仿宋" w:hAnsi="仿宋" w:eastAsia="仿宋"/>
          <w:sz w:val="28"/>
          <w:szCs w:val="28"/>
        </w:rPr>
        <w:t>2</w:t>
      </w:r>
      <w:r>
        <w:rPr>
          <w:rFonts w:ascii="仿宋" w:hAnsi="仿宋" w:eastAsia="仿宋"/>
          <w:sz w:val="28"/>
          <w:szCs w:val="28"/>
          <w:lang/>
        </w:rPr>
        <w:t>0</w:t>
      </w:r>
      <w:r>
        <w:rPr>
          <w:rFonts w:hint="eastAsia" w:ascii="仿宋" w:hAnsi="仿宋" w:eastAsia="仿宋"/>
          <w:sz w:val="28"/>
          <w:szCs w:val="28"/>
          <w:lang/>
        </w:rPr>
        <w:t>24</w:t>
      </w:r>
      <w:r>
        <w:rPr>
          <w:rFonts w:ascii="仿宋" w:hAnsi="仿宋" w:eastAsia="仿宋"/>
          <w:sz w:val="28"/>
          <w:szCs w:val="28"/>
          <w:lang/>
        </w:rPr>
        <w:t>年</w:t>
      </w:r>
      <w:r>
        <w:rPr>
          <w:rFonts w:hint="eastAsia" w:ascii="仿宋" w:hAnsi="仿宋" w:eastAsia="仿宋"/>
          <w:sz w:val="28"/>
          <w:szCs w:val="28"/>
          <w:lang/>
        </w:rPr>
        <w:t>9</w:t>
      </w:r>
      <w:r>
        <w:rPr>
          <w:rFonts w:ascii="仿宋" w:hAnsi="仿宋" w:eastAsia="仿宋"/>
          <w:sz w:val="28"/>
          <w:szCs w:val="28"/>
          <w:lang/>
        </w:rPr>
        <w:t>月</w:t>
      </w:r>
      <w:r>
        <w:rPr>
          <w:rFonts w:hint="eastAsia" w:ascii="仿宋" w:hAnsi="仿宋" w:eastAsia="仿宋"/>
          <w:sz w:val="28"/>
          <w:szCs w:val="28"/>
          <w:lang/>
        </w:rPr>
        <w:t>6</w:t>
      </w:r>
      <w:r>
        <w:rPr>
          <w:rFonts w:ascii="仿宋" w:hAnsi="仿宋" w:eastAsia="仿宋"/>
          <w:sz w:val="28"/>
          <w:szCs w:val="28"/>
          <w:lang/>
        </w:rPr>
        <w:t>日</w:t>
      </w:r>
      <w:r>
        <w:rPr>
          <w:rFonts w:hint="eastAsia" w:ascii="仿宋" w:hAnsi="仿宋" w:eastAsia="仿宋"/>
          <w:sz w:val="28"/>
          <w:szCs w:val="28"/>
          <w:lang/>
        </w:rPr>
        <w:t>印发</w:t>
      </w:r>
    </w:p>
    <w:p w14:paraId="2F69F0BE">
      <w:pPr>
        <w:ind w:right="-321" w:firstLine="313" w:firstLineChars="112"/>
        <w:rPr>
          <w:rFonts w:ascii="仿宋" w:hAnsi="仿宋" w:eastAsia="仿宋"/>
          <w:sz w:val="28"/>
          <w:szCs w:val="28"/>
          <w:lang/>
        </w:rPr>
      </w:pPr>
      <w:r>
        <w:rPr>
          <w:rFonts w:ascii="仿宋" w:hAnsi="仿宋" w:eastAsia="仿宋"/>
          <w:sz w:val="28"/>
          <w:szCs w:val="28"/>
          <w:lang/>
        </w:rPr>
        <mc:AlternateContent>
          <mc:Choice Requires="wps">
            <w:drawing>
              <wp:anchor distT="0" distB="0" distL="114300" distR="114300" simplePos="0" relativeHeight="251662336" behindDoc="0" locked="0" layoutInCell="0" allowOverlap="1">
                <wp:simplePos x="0" y="0"/>
                <wp:positionH relativeFrom="column">
                  <wp:posOffset>-48260</wp:posOffset>
                </wp:positionH>
                <wp:positionV relativeFrom="paragraph">
                  <wp:posOffset>-1905</wp:posOffset>
                </wp:positionV>
                <wp:extent cx="5382260" cy="0"/>
                <wp:effectExtent l="0" t="6350" r="0" b="6350"/>
                <wp:wrapNone/>
                <wp:docPr id="3" name="直线 9"/>
                <wp:cNvGraphicFramePr/>
                <a:graphic xmlns:a="http://schemas.openxmlformats.org/drawingml/2006/main">
                  <a:graphicData uri="http://schemas.microsoft.com/office/word/2010/wordprocessingShape">
                    <wps:wsp>
                      <wps:cNvSpPr/>
                      <wps:spPr>
                        <a:xfrm>
                          <a:off x="0" y="0"/>
                          <a:ext cx="538226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3.8pt;margin-top:-0.15pt;height:0pt;width:423.8pt;z-index:251662336;mso-width-relative:page;mso-height-relative:page;" filled="f" stroked="t" coordsize="21600,21600" o:allowincell="f" o:gfxdata="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SO+9P1QAA&#10;AAYBAAAPAAAAAAAAAAEAIAAAACIAAABkcnMvZG93bnJldi54bWxQSwECFAAUAAAACACHTuJAQJLo&#10;OOgBAADcAwAADgAAAAAAAAABACAAAAAkAQAAZHJzL2Uyb0RvYy54bWxQSwUGAAAAAAYABgBZAQAA&#10;fgUAAAAA&#10;">
                <v:fill on="f" focussize="0,0"/>
                <v:stroke weight="1pt" color="#000000" joinstyle="round"/>
                <v:imagedata o:title=""/>
                <o:lock v:ext="edit" aspectratio="f"/>
              </v:line>
            </w:pict>
          </mc:Fallback>
        </mc:AlternateContent>
      </w:r>
      <w:r>
        <w:rPr>
          <w:rFonts w:hint="eastAsia" w:ascii="仿宋" w:hAnsi="仿宋" w:eastAsia="仿宋"/>
          <w:sz w:val="28"/>
          <w:szCs w:val="28"/>
          <w:lang/>
        </w:rPr>
        <w:t xml:space="preserve">                                 校对：</w:t>
      </w:r>
      <w:bookmarkStart w:id="4" w:name="校对"/>
      <w:bookmarkEnd w:id="4"/>
      <w:r>
        <w:rPr>
          <w:rFonts w:hint="eastAsia" w:ascii="仿宋" w:hAnsi="仿宋" w:eastAsia="仿宋"/>
          <w:sz w:val="28"/>
          <w:szCs w:val="28"/>
          <w:lang/>
        </w:rPr>
        <w:t>法规准则部    杨昳</w:t>
      </w:r>
    </w:p>
    <w:p w14:paraId="5B9B3CBD">
      <w:pPr>
        <w:widowControl/>
        <w:rPr>
          <w:rFonts w:hint="eastAsia" w:ascii="仿宋" w:hAnsi="仿宋" w:eastAsia="仿宋"/>
          <w:b/>
          <w:spacing w:val="8"/>
          <w:sz w:val="32"/>
          <w:szCs w:val="32"/>
        </w:rPr>
      </w:pPr>
      <w:r>
        <w:rPr>
          <w:rFonts w:hint="eastAsia" w:ascii="仿宋" w:hAnsi="仿宋" w:eastAsia="仿宋"/>
          <w:b/>
          <w:spacing w:val="8"/>
          <w:sz w:val="32"/>
          <w:szCs w:val="32"/>
        </w:rPr>
        <w:t>附件：</w:t>
      </w:r>
    </w:p>
    <w:p w14:paraId="5638FE9F">
      <w:pPr>
        <w:pStyle w:val="28"/>
        <w:spacing w:before="0" w:beforeAutospacing="0" w:after="0" w:afterAutospacing="0"/>
        <w:ind w:firstLine="0"/>
        <w:jc w:val="center"/>
        <w:rPr>
          <w:rFonts w:hint="eastAsia" w:ascii="华文中宋" w:hAnsi="华文中宋" w:eastAsia="华文中宋" w:cs="Times New Roman"/>
          <w:spacing w:val="8"/>
          <w:kern w:val="2"/>
          <w:sz w:val="36"/>
          <w:szCs w:val="36"/>
        </w:rPr>
      </w:pPr>
      <w:r>
        <w:rPr>
          <w:rFonts w:hint="eastAsia" w:ascii="华文中宋" w:hAnsi="华文中宋" w:eastAsia="华文中宋" w:cs="Times New Roman"/>
          <w:spacing w:val="8"/>
          <w:kern w:val="2"/>
          <w:sz w:val="36"/>
          <w:szCs w:val="36"/>
        </w:rPr>
        <w:t xml:space="preserve"> 税务师事务所业务拓展参考文件汇编</w:t>
      </w:r>
    </w:p>
    <w:p w14:paraId="741BB715">
      <w:pPr>
        <w:pStyle w:val="28"/>
        <w:spacing w:before="0" w:beforeAutospacing="0" w:after="0" w:afterAutospacing="0"/>
        <w:ind w:firstLine="720" w:firstLineChars="200"/>
        <w:jc w:val="center"/>
        <w:rPr>
          <w:rFonts w:hint="eastAsia" w:ascii="华文中宋" w:hAnsi="华文中宋" w:eastAsia="华文中宋" w:cs="微软雅黑"/>
          <w:bCs/>
          <w:sz w:val="36"/>
          <w:szCs w:val="36"/>
        </w:rPr>
      </w:pPr>
    </w:p>
    <w:p w14:paraId="45D3C3F8">
      <w:pPr>
        <w:pStyle w:val="28"/>
        <w:spacing w:before="0" w:beforeAutospacing="0" w:after="0" w:afterAutospacing="0"/>
        <w:ind w:firstLine="720"/>
        <w:jc w:val="both"/>
        <w:rPr>
          <w:rFonts w:ascii="黑体" w:hAnsi="黑体" w:eastAsia="黑体" w:cs="Helvetica"/>
          <w:sz w:val="32"/>
          <w:szCs w:val="32"/>
        </w:rPr>
      </w:pPr>
      <w:r>
        <w:rPr>
          <w:rFonts w:hint="eastAsia" w:ascii="华文中宋" w:hAnsi="华文中宋" w:eastAsia="华文中宋" w:cs="微软雅黑"/>
          <w:bCs/>
          <w:sz w:val="36"/>
          <w:szCs w:val="36"/>
        </w:rPr>
        <w:t xml:space="preserve">    </w:t>
      </w:r>
      <w:r>
        <w:rPr>
          <w:rFonts w:hint="eastAsia" w:ascii="黑体" w:hAnsi="黑体" w:eastAsia="黑体" w:cs="Helvetica"/>
          <w:sz w:val="32"/>
          <w:szCs w:val="32"/>
        </w:rPr>
        <w:t>一、依据法律、行政法规可拓展的业务领域</w:t>
      </w:r>
    </w:p>
    <w:p w14:paraId="6B04A2F8">
      <w:pPr>
        <w:ind w:right="284" w:firstLine="643" w:firstLineChars="200"/>
        <w:rPr>
          <w:rFonts w:ascii="楷体" w:hAnsi="楷体" w:eastAsia="楷体" w:cs="微软雅黑"/>
          <w:b/>
          <w:kern w:val="0"/>
          <w:sz w:val="32"/>
          <w:szCs w:val="32"/>
        </w:rPr>
      </w:pPr>
      <w:r>
        <w:rPr>
          <w:rFonts w:hint="eastAsia" w:ascii="楷体" w:hAnsi="楷体" w:eastAsia="楷体" w:cs="微软雅黑"/>
          <w:b/>
          <w:kern w:val="0"/>
          <w:sz w:val="32"/>
          <w:szCs w:val="32"/>
        </w:rPr>
        <w:t>（一）受市场监督管理部门委托，配合开展抽查工作</w:t>
      </w:r>
    </w:p>
    <w:p w14:paraId="470A570A">
      <w:pPr>
        <w:ind w:firstLine="643" w:firstLineChars="200"/>
        <w:rPr>
          <w:rFonts w:ascii="仿宋" w:hAnsi="仿宋" w:eastAsia="仿宋" w:cs="Helvetica"/>
          <w:kern w:val="0"/>
          <w:sz w:val="32"/>
          <w:szCs w:val="32"/>
        </w:rPr>
      </w:pPr>
      <w:r>
        <w:rPr>
          <w:rFonts w:hint="eastAsia" w:ascii="仿宋" w:hAnsi="仿宋" w:eastAsia="仿宋" w:cs="Helvetica"/>
          <w:b/>
          <w:kern w:val="0"/>
          <w:sz w:val="32"/>
          <w:szCs w:val="32"/>
        </w:rPr>
        <w:t>法规依据1：</w:t>
      </w:r>
      <w:r>
        <w:rPr>
          <w:rFonts w:ascii="仿宋" w:hAnsi="仿宋" w:eastAsia="仿宋" w:cs="Helvetica"/>
          <w:kern w:val="0"/>
          <w:sz w:val="32"/>
          <w:szCs w:val="32"/>
        </w:rPr>
        <w:t>《企业信息公示暂行条例</w:t>
      </w:r>
      <w:r>
        <w:rPr>
          <w:rFonts w:hint="eastAsia" w:ascii="仿宋" w:hAnsi="仿宋" w:eastAsia="仿宋"/>
          <w:sz w:val="32"/>
          <w:szCs w:val="32"/>
        </w:rPr>
        <w:t>(</w:t>
      </w:r>
      <w:r>
        <w:rPr>
          <w:rFonts w:hint="eastAsia" w:ascii="仿宋" w:hAnsi="仿宋" w:eastAsia="仿宋" w:cs="Helvetica"/>
          <w:kern w:val="0"/>
          <w:sz w:val="32"/>
          <w:szCs w:val="32"/>
        </w:rPr>
        <w:t>2024修订</w:t>
      </w:r>
      <w:r>
        <w:rPr>
          <w:rFonts w:hint="eastAsia" w:ascii="仿宋" w:hAnsi="仿宋" w:eastAsia="仿宋"/>
          <w:sz w:val="32"/>
          <w:szCs w:val="32"/>
        </w:rPr>
        <w:t>)</w:t>
      </w:r>
      <w:r>
        <w:rPr>
          <w:rFonts w:ascii="仿宋" w:hAnsi="仿宋" w:eastAsia="仿宋" w:cs="Helvetica"/>
          <w:kern w:val="0"/>
          <w:sz w:val="32"/>
          <w:szCs w:val="32"/>
        </w:rPr>
        <w:t>》（中华人民共和国国务院令第777号）</w:t>
      </w:r>
    </w:p>
    <w:p w14:paraId="7EDC91E8">
      <w:pPr>
        <w:widowControl/>
        <w:shd w:val="clear" w:color="auto" w:fill="FFFFFF"/>
        <w:ind w:firstLine="643" w:firstLineChars="200"/>
        <w:jc w:val="left"/>
        <w:rPr>
          <w:rFonts w:ascii="仿宋" w:hAnsi="仿宋" w:eastAsia="仿宋" w:cs="Helvetica"/>
          <w:kern w:val="0"/>
          <w:sz w:val="32"/>
          <w:szCs w:val="32"/>
        </w:rPr>
      </w:pPr>
      <w:r>
        <w:rPr>
          <w:rFonts w:hint="eastAsia" w:ascii="仿宋" w:hAnsi="仿宋" w:eastAsia="仿宋" w:cs="Helvetica"/>
          <w:b/>
          <w:bCs/>
          <w:kern w:val="0"/>
          <w:sz w:val="32"/>
          <w:szCs w:val="32"/>
        </w:rPr>
        <w:t>具体内容：</w:t>
      </w:r>
      <w:r>
        <w:rPr>
          <w:rFonts w:ascii="仿宋" w:hAnsi="仿宋" w:eastAsia="仿宋" w:cs="Helvetica"/>
          <w:kern w:val="0"/>
          <w:sz w:val="32"/>
          <w:szCs w:val="32"/>
        </w:rPr>
        <w:t>市场监督管理部门抽查企业公示的信息，可以委托会计师事务所、</w:t>
      </w:r>
      <w:r>
        <w:rPr>
          <w:rFonts w:ascii="仿宋" w:hAnsi="仿宋" w:eastAsia="仿宋" w:cs="Helvetica"/>
          <w:b/>
          <w:kern w:val="0"/>
          <w:sz w:val="32"/>
          <w:szCs w:val="32"/>
        </w:rPr>
        <w:t>税务师事务所</w:t>
      </w:r>
      <w:r>
        <w:rPr>
          <w:rFonts w:ascii="仿宋" w:hAnsi="仿宋" w:eastAsia="仿宋" w:cs="Helvetica"/>
          <w:kern w:val="0"/>
          <w:sz w:val="32"/>
          <w:szCs w:val="32"/>
        </w:rPr>
        <w:t>、律师事务所等专业机构开展相关工作，并依法利用其他政府部门作出的检查、核查结果或者</w:t>
      </w:r>
      <w:r>
        <w:rPr>
          <w:rFonts w:ascii="仿宋" w:hAnsi="仿宋" w:eastAsia="仿宋" w:cs="Helvetica"/>
          <w:b/>
          <w:kern w:val="0"/>
          <w:sz w:val="32"/>
          <w:szCs w:val="32"/>
        </w:rPr>
        <w:t>专业机构</w:t>
      </w:r>
      <w:r>
        <w:rPr>
          <w:rFonts w:ascii="仿宋" w:hAnsi="仿宋" w:eastAsia="仿宋" w:cs="Helvetica"/>
          <w:kern w:val="0"/>
          <w:sz w:val="32"/>
          <w:szCs w:val="32"/>
        </w:rPr>
        <w:t>作出的专业结论。</w:t>
      </w:r>
      <w:r>
        <w:rPr>
          <w:rFonts w:hint="eastAsia" w:ascii="仿宋" w:hAnsi="仿宋" w:eastAsia="仿宋" w:cs="Helvetica"/>
          <w:kern w:val="0"/>
          <w:sz w:val="32"/>
          <w:szCs w:val="32"/>
        </w:rPr>
        <w:t xml:space="preserve"> [第十四条]</w:t>
      </w:r>
    </w:p>
    <w:p w14:paraId="4C3C033B">
      <w:pPr>
        <w:pStyle w:val="28"/>
        <w:spacing w:before="0" w:beforeAutospacing="0" w:after="0" w:afterAutospacing="0"/>
        <w:ind w:firstLine="643" w:firstLineChars="200"/>
        <w:jc w:val="both"/>
        <w:rPr>
          <w:rFonts w:ascii="仿宋" w:hAnsi="仿宋" w:eastAsia="仿宋" w:cs="微软雅黑"/>
          <w:sz w:val="32"/>
          <w:szCs w:val="32"/>
        </w:rPr>
      </w:pPr>
      <w:r>
        <w:rPr>
          <w:rFonts w:hint="eastAsia" w:ascii="仿宋" w:hAnsi="仿宋" w:eastAsia="仿宋" w:cs="微软雅黑"/>
          <w:b/>
          <w:sz w:val="32"/>
          <w:szCs w:val="32"/>
        </w:rPr>
        <w:t>规章依据2：</w:t>
      </w:r>
      <w:r>
        <w:rPr>
          <w:rFonts w:ascii="仿宋" w:hAnsi="仿宋" w:eastAsia="仿宋" w:cs="微软雅黑"/>
          <w:sz w:val="32"/>
          <w:szCs w:val="32"/>
        </w:rPr>
        <w:t>《</w:t>
      </w:r>
      <w:r>
        <w:rPr>
          <w:rFonts w:hint="eastAsia" w:ascii="仿宋" w:hAnsi="仿宋" w:eastAsia="仿宋" w:cs="微软雅黑"/>
          <w:sz w:val="32"/>
          <w:szCs w:val="32"/>
        </w:rPr>
        <w:t>企业公示信息抽查暂行办法</w:t>
      </w:r>
      <w:r>
        <w:rPr>
          <w:rFonts w:ascii="仿宋" w:hAnsi="仿宋" w:eastAsia="仿宋" w:cs="微软雅黑"/>
          <w:sz w:val="32"/>
          <w:szCs w:val="32"/>
        </w:rPr>
        <w:t>》</w:t>
      </w:r>
      <w:r>
        <w:rPr>
          <w:rFonts w:hint="eastAsia" w:ascii="仿宋" w:hAnsi="仿宋" w:eastAsia="仿宋"/>
          <w:sz w:val="32"/>
          <w:szCs w:val="32"/>
        </w:rPr>
        <w:t>(2014)</w:t>
      </w:r>
      <w:r>
        <w:rPr>
          <w:rFonts w:ascii="仿宋" w:hAnsi="仿宋" w:eastAsia="仿宋" w:cs="微软雅黑"/>
          <w:sz w:val="32"/>
          <w:szCs w:val="32"/>
        </w:rPr>
        <w:t>（中华人民共和国国家工商行政管理总局令第67号）</w:t>
      </w:r>
    </w:p>
    <w:p w14:paraId="12CEBE60">
      <w:pPr>
        <w:pStyle w:val="28"/>
        <w:spacing w:before="0" w:beforeAutospacing="0" w:after="0" w:afterAutospacing="0"/>
        <w:ind w:firstLine="643" w:firstLineChars="200"/>
        <w:jc w:val="both"/>
        <w:rPr>
          <w:rFonts w:ascii="仿宋" w:hAnsi="仿宋" w:eastAsia="仿宋" w:cs="微软雅黑"/>
          <w:sz w:val="32"/>
          <w:szCs w:val="32"/>
        </w:rPr>
      </w:pPr>
      <w:r>
        <w:rPr>
          <w:rFonts w:hint="eastAsia" w:ascii="仿宋" w:hAnsi="仿宋" w:eastAsia="仿宋" w:cs="微软雅黑"/>
          <w:b/>
          <w:sz w:val="32"/>
          <w:szCs w:val="32"/>
        </w:rPr>
        <w:t>具体内容：</w:t>
      </w:r>
      <w:r>
        <w:rPr>
          <w:rFonts w:hint="eastAsia" w:ascii="仿宋" w:hAnsi="仿宋" w:eastAsia="仿宋" w:cs="微软雅黑"/>
          <w:sz w:val="32"/>
          <w:szCs w:val="32"/>
        </w:rPr>
        <w:t>工商行政管理部门抽查企业公示的信息，可以采取书面检查、实地核查、网络监测等方式。抽查中可以委托会计师事务所、</w:t>
      </w:r>
      <w:r>
        <w:rPr>
          <w:rFonts w:hint="eastAsia" w:ascii="仿宋" w:hAnsi="仿宋" w:eastAsia="仿宋" w:cs="微软雅黑"/>
          <w:b/>
          <w:sz w:val="32"/>
          <w:szCs w:val="32"/>
        </w:rPr>
        <w:t>税务师事务所</w:t>
      </w:r>
      <w:r>
        <w:rPr>
          <w:rFonts w:hint="eastAsia" w:ascii="仿宋" w:hAnsi="仿宋" w:eastAsia="仿宋" w:cs="微软雅黑"/>
          <w:sz w:val="32"/>
          <w:szCs w:val="32"/>
        </w:rPr>
        <w:t>、律师事务所等专业机构开展审计、验资、咨询等相关工作，依法利用其他政府部门作出的检查、核查结果或者</w:t>
      </w:r>
      <w:r>
        <w:rPr>
          <w:rFonts w:hint="eastAsia" w:ascii="仿宋" w:hAnsi="仿宋" w:eastAsia="仿宋" w:cs="微软雅黑"/>
          <w:b/>
          <w:sz w:val="32"/>
          <w:szCs w:val="32"/>
        </w:rPr>
        <w:t>专业机构</w:t>
      </w:r>
      <w:r>
        <w:rPr>
          <w:rFonts w:hint="eastAsia" w:ascii="仿宋" w:hAnsi="仿宋" w:eastAsia="仿宋" w:cs="微软雅黑"/>
          <w:sz w:val="32"/>
          <w:szCs w:val="32"/>
        </w:rPr>
        <w:t>作出的专业结论。[第八条]</w:t>
      </w:r>
    </w:p>
    <w:p w14:paraId="572B7662">
      <w:pPr>
        <w:widowControl/>
        <w:shd w:val="clear" w:color="auto" w:fill="FFFFFF"/>
        <w:ind w:firstLine="643" w:firstLineChars="200"/>
        <w:jc w:val="left"/>
        <w:rPr>
          <w:rFonts w:ascii="仿宋" w:hAnsi="仿宋" w:eastAsia="仿宋" w:cs="微软雅黑"/>
          <w:sz w:val="32"/>
          <w:szCs w:val="32"/>
        </w:rPr>
      </w:pPr>
      <w:r>
        <w:rPr>
          <w:rFonts w:hint="eastAsia" w:ascii="仿宋" w:hAnsi="仿宋" w:eastAsia="仿宋" w:cs="Helvetica"/>
          <w:b/>
          <w:kern w:val="0"/>
          <w:sz w:val="32"/>
          <w:szCs w:val="32"/>
        </w:rPr>
        <w:t>业务拓展建议：</w:t>
      </w:r>
      <w:r>
        <w:rPr>
          <w:rFonts w:hint="eastAsia" w:ascii="仿宋" w:hAnsi="仿宋" w:eastAsia="仿宋" w:cs="Helvetica"/>
          <w:kern w:val="0"/>
          <w:sz w:val="32"/>
          <w:szCs w:val="32"/>
        </w:rPr>
        <w:t>1.积极争取参与市场监督管理部门的抽查工作。2.针对市场监督管理部门检查要求，开发专项服务产品，</w:t>
      </w:r>
      <w:r>
        <w:rPr>
          <w:rFonts w:hint="eastAsia" w:ascii="仿宋" w:hAnsi="仿宋" w:eastAsia="仿宋" w:cs="微软雅黑"/>
          <w:sz w:val="32"/>
          <w:szCs w:val="32"/>
        </w:rPr>
        <w:t>为企业提供</w:t>
      </w:r>
      <w:r>
        <w:rPr>
          <w:rFonts w:ascii="仿宋" w:hAnsi="仿宋" w:eastAsia="仿宋" w:cs="微软雅黑"/>
          <w:sz w:val="32"/>
          <w:szCs w:val="32"/>
        </w:rPr>
        <w:t>资料</w:t>
      </w:r>
      <w:r>
        <w:rPr>
          <w:rFonts w:hint="eastAsia" w:ascii="仿宋" w:hAnsi="仿宋" w:eastAsia="仿宋" w:cs="微软雅黑"/>
          <w:sz w:val="32"/>
          <w:szCs w:val="32"/>
        </w:rPr>
        <w:t>准备、</w:t>
      </w:r>
      <w:r>
        <w:rPr>
          <w:rFonts w:ascii="仿宋" w:hAnsi="仿宋" w:eastAsia="仿宋" w:cs="微软雅黑"/>
          <w:sz w:val="32"/>
          <w:szCs w:val="32"/>
        </w:rPr>
        <w:t>风险评估</w:t>
      </w:r>
      <w:r>
        <w:rPr>
          <w:rFonts w:hint="eastAsia" w:ascii="仿宋" w:hAnsi="仿宋" w:eastAsia="仿宋" w:cs="微软雅黑"/>
          <w:sz w:val="32"/>
          <w:szCs w:val="32"/>
        </w:rPr>
        <w:t>、模拟检查及争议问题沟通等服务。</w:t>
      </w:r>
    </w:p>
    <w:p w14:paraId="00CACDE4">
      <w:pPr>
        <w:ind w:right="284" w:firstLine="643" w:firstLineChars="200"/>
        <w:rPr>
          <w:rFonts w:ascii="楷体" w:hAnsi="楷体" w:eastAsia="楷体" w:cs="微软雅黑"/>
          <w:b/>
          <w:kern w:val="0"/>
          <w:sz w:val="32"/>
          <w:szCs w:val="32"/>
        </w:rPr>
      </w:pPr>
      <w:r>
        <w:rPr>
          <w:rFonts w:hint="eastAsia" w:ascii="楷体" w:hAnsi="楷体" w:eastAsia="楷体" w:cs="微软雅黑"/>
          <w:b/>
          <w:kern w:val="0"/>
          <w:sz w:val="32"/>
          <w:szCs w:val="32"/>
        </w:rPr>
        <w:t>（二）受登记机关委托，开展咨询等相关工作；受申请人委托，代办市场主体登记</w:t>
      </w:r>
    </w:p>
    <w:p w14:paraId="2A2AF81F">
      <w:pPr>
        <w:pStyle w:val="28"/>
        <w:spacing w:before="0" w:beforeAutospacing="0" w:after="0" w:afterAutospacing="0"/>
        <w:ind w:firstLine="643" w:firstLineChars="200"/>
        <w:jc w:val="both"/>
        <w:rPr>
          <w:rFonts w:ascii="仿宋" w:hAnsi="仿宋" w:eastAsia="仿宋" w:cs="微软雅黑"/>
          <w:sz w:val="32"/>
          <w:szCs w:val="32"/>
        </w:rPr>
      </w:pPr>
      <w:r>
        <w:rPr>
          <w:rFonts w:hint="eastAsia" w:ascii="仿宋" w:hAnsi="仿宋" w:eastAsia="仿宋"/>
          <w:b/>
          <w:sz w:val="32"/>
          <w:szCs w:val="32"/>
        </w:rPr>
        <w:t>法规依据1：</w:t>
      </w:r>
      <w:r>
        <w:rPr>
          <w:rFonts w:hint="eastAsia" w:ascii="仿宋" w:hAnsi="仿宋" w:eastAsia="仿宋" w:cs="微软雅黑"/>
          <w:sz w:val="32"/>
          <w:szCs w:val="32"/>
        </w:rPr>
        <w:t>《中华人民共和国市场主体登记管理条例》</w:t>
      </w:r>
      <w:r>
        <w:rPr>
          <w:rFonts w:hint="eastAsia" w:ascii="仿宋" w:hAnsi="仿宋" w:eastAsia="仿宋"/>
          <w:sz w:val="32"/>
          <w:szCs w:val="32"/>
        </w:rPr>
        <w:t>(2021)</w:t>
      </w:r>
      <w:r>
        <w:rPr>
          <w:rFonts w:hint="eastAsia" w:ascii="仿宋" w:hAnsi="仿宋" w:eastAsia="仿宋" w:cs="微软雅黑"/>
          <w:sz w:val="32"/>
          <w:szCs w:val="32"/>
        </w:rPr>
        <w:t>（中华人民共和国国务院令第746号）</w:t>
      </w:r>
    </w:p>
    <w:p w14:paraId="2584CFC8">
      <w:pPr>
        <w:pStyle w:val="28"/>
        <w:spacing w:before="0" w:beforeAutospacing="0" w:after="0" w:afterAutospacing="0"/>
        <w:ind w:firstLine="643" w:firstLineChars="200"/>
        <w:jc w:val="both"/>
        <w:rPr>
          <w:rFonts w:ascii="仿宋" w:hAnsi="仿宋" w:eastAsia="仿宋" w:cs="微软雅黑"/>
          <w:sz w:val="32"/>
          <w:szCs w:val="32"/>
        </w:rPr>
      </w:pPr>
      <w:r>
        <w:rPr>
          <w:rFonts w:hint="eastAsia" w:ascii="仿宋" w:hAnsi="仿宋" w:eastAsia="仿宋"/>
          <w:b/>
          <w:sz w:val="32"/>
          <w:szCs w:val="32"/>
        </w:rPr>
        <w:t>具体内容：</w:t>
      </w:r>
      <w:r>
        <w:rPr>
          <w:rFonts w:hint="eastAsia" w:ascii="仿宋" w:hAnsi="仿宋" w:eastAsia="仿宋" w:cs="微软雅黑"/>
          <w:sz w:val="32"/>
          <w:szCs w:val="32"/>
        </w:rPr>
        <w:t>申请人可以委托其他自然人或者</w:t>
      </w:r>
      <w:r>
        <w:rPr>
          <w:rFonts w:hint="eastAsia" w:ascii="仿宋" w:hAnsi="仿宋" w:eastAsia="仿宋" w:cs="微软雅黑"/>
          <w:b/>
          <w:sz w:val="32"/>
          <w:szCs w:val="32"/>
        </w:rPr>
        <w:t>中介机构</w:t>
      </w:r>
      <w:r>
        <w:rPr>
          <w:rFonts w:hint="eastAsia" w:ascii="仿宋" w:hAnsi="仿宋" w:eastAsia="仿宋" w:cs="微软雅黑"/>
          <w:sz w:val="32"/>
          <w:szCs w:val="32"/>
        </w:rPr>
        <w:t>代其办理市场主体登记。受委托的自然人或者中介机构代为办理登记事宜应当遵守有关规定，不得提供虚假信息和材料。[第十八条]</w:t>
      </w:r>
    </w:p>
    <w:p w14:paraId="69641F95">
      <w:pPr>
        <w:ind w:firstLine="643" w:firstLineChars="200"/>
        <w:rPr>
          <w:rFonts w:ascii="仿宋" w:hAnsi="仿宋" w:eastAsia="仿宋" w:cs="微软雅黑"/>
          <w:kern w:val="0"/>
          <w:sz w:val="32"/>
          <w:szCs w:val="32"/>
        </w:rPr>
      </w:pPr>
      <w:r>
        <w:rPr>
          <w:rFonts w:hint="eastAsia" w:ascii="仿宋" w:hAnsi="仿宋" w:eastAsia="仿宋" w:cs="微软雅黑"/>
          <w:b/>
          <w:kern w:val="0"/>
          <w:sz w:val="32"/>
          <w:szCs w:val="32"/>
        </w:rPr>
        <w:t>规章依据2：</w:t>
      </w:r>
      <w:r>
        <w:rPr>
          <w:rFonts w:hint="eastAsia" w:ascii="仿宋" w:hAnsi="仿宋" w:eastAsia="仿宋" w:cs="微软雅黑"/>
          <w:kern w:val="0"/>
          <w:sz w:val="32"/>
          <w:szCs w:val="32"/>
        </w:rPr>
        <w:t>《中华人民共和国市场主体登记管理条例实施细则》</w:t>
      </w:r>
      <w:r>
        <w:rPr>
          <w:rFonts w:hint="eastAsia" w:ascii="仿宋" w:hAnsi="仿宋" w:eastAsia="仿宋"/>
          <w:sz w:val="32"/>
          <w:szCs w:val="32"/>
        </w:rPr>
        <w:t>(2022)</w:t>
      </w:r>
      <w:r>
        <w:rPr>
          <w:rFonts w:hint="eastAsia" w:ascii="仿宋" w:hAnsi="仿宋" w:eastAsia="仿宋" w:cs="微软雅黑"/>
          <w:kern w:val="0"/>
          <w:sz w:val="32"/>
          <w:szCs w:val="32"/>
        </w:rPr>
        <w:t>（国家市场监督管理总局令第52号）</w:t>
      </w:r>
    </w:p>
    <w:p w14:paraId="358CB66F">
      <w:pPr>
        <w:pStyle w:val="28"/>
        <w:spacing w:before="0" w:beforeAutospacing="0" w:after="0" w:afterAutospacing="0"/>
        <w:ind w:firstLine="643" w:firstLineChars="200"/>
        <w:jc w:val="both"/>
        <w:rPr>
          <w:rFonts w:ascii="仿宋" w:hAnsi="仿宋" w:eastAsia="仿宋" w:cs="微软雅黑"/>
          <w:sz w:val="32"/>
          <w:szCs w:val="32"/>
        </w:rPr>
      </w:pPr>
      <w:r>
        <w:rPr>
          <w:rFonts w:hint="eastAsia" w:ascii="仿宋" w:hAnsi="仿宋" w:eastAsia="仿宋" w:cs="微软雅黑"/>
          <w:b/>
          <w:sz w:val="32"/>
          <w:szCs w:val="32"/>
        </w:rPr>
        <w:t>具体内容：</w:t>
      </w:r>
      <w:r>
        <w:rPr>
          <w:rFonts w:hint="eastAsia" w:ascii="仿宋" w:hAnsi="仿宋" w:eastAsia="仿宋" w:cs="微软雅黑"/>
          <w:sz w:val="32"/>
          <w:szCs w:val="32"/>
        </w:rPr>
        <w:t>登记机关应当随机抽取检查对象、随机选派执法检查人员，对市场主体的登记备案事项、公示信息情况等进行抽查，并将抽查检查结果通过国家企业信用信息公示系统向社会公示。必要时可以委托会计师事务所、</w:t>
      </w:r>
      <w:r>
        <w:rPr>
          <w:rFonts w:hint="eastAsia" w:ascii="仿宋" w:hAnsi="仿宋" w:eastAsia="仿宋" w:cs="微软雅黑"/>
          <w:b/>
          <w:sz w:val="32"/>
          <w:szCs w:val="32"/>
        </w:rPr>
        <w:t>税务师事务所</w:t>
      </w:r>
      <w:r>
        <w:rPr>
          <w:rFonts w:hint="eastAsia" w:ascii="仿宋" w:hAnsi="仿宋" w:eastAsia="仿宋" w:cs="微软雅黑"/>
          <w:sz w:val="32"/>
          <w:szCs w:val="32"/>
        </w:rPr>
        <w:t>、律师事务所等专业机构开展审计、验资、咨询等相关工作，依法使用其他政府部门作出的检查、核查结果或者专业机构作出的专业结论。[第六十六条]</w:t>
      </w:r>
    </w:p>
    <w:p w14:paraId="0355AAEF">
      <w:pPr>
        <w:pStyle w:val="28"/>
        <w:spacing w:before="0" w:beforeAutospacing="0" w:after="0" w:afterAutospacing="0"/>
        <w:ind w:firstLine="643" w:firstLineChars="200"/>
        <w:jc w:val="both"/>
        <w:rPr>
          <w:rFonts w:ascii="仿宋" w:hAnsi="仿宋" w:eastAsia="仿宋" w:cs="微软雅黑"/>
          <w:sz w:val="32"/>
          <w:szCs w:val="32"/>
        </w:rPr>
      </w:pPr>
      <w:r>
        <w:rPr>
          <w:rFonts w:hint="eastAsia" w:ascii="仿宋" w:hAnsi="仿宋" w:eastAsia="仿宋"/>
          <w:b/>
          <w:sz w:val="32"/>
          <w:szCs w:val="32"/>
        </w:rPr>
        <w:t>业务拓展建议：</w:t>
      </w:r>
      <w:r>
        <w:rPr>
          <w:rFonts w:hint="eastAsia" w:ascii="仿宋" w:hAnsi="仿宋" w:eastAsia="仿宋"/>
          <w:sz w:val="32"/>
          <w:szCs w:val="32"/>
        </w:rPr>
        <w:t>1.积极争取市场监督管理部门委托机会，参与审计、验资、咨询等相关工作。2.为企业提供</w:t>
      </w:r>
      <w:r>
        <w:rPr>
          <w:rFonts w:hint="eastAsia" w:ascii="仿宋" w:hAnsi="仿宋" w:eastAsia="仿宋" w:cs="微软雅黑"/>
          <w:sz w:val="32"/>
          <w:szCs w:val="32"/>
        </w:rPr>
        <w:t>注册、变更登记、注销登记等服务。3.向被抽查企业提供资料准备、预审、咨询及争议沟通等服务</w:t>
      </w:r>
      <w:r>
        <w:rPr>
          <w:rFonts w:ascii="仿宋" w:hAnsi="仿宋" w:eastAsia="仿宋" w:cs="微软雅黑"/>
          <w:sz w:val="32"/>
          <w:szCs w:val="32"/>
        </w:rPr>
        <w:t>。</w:t>
      </w:r>
    </w:p>
    <w:p w14:paraId="135B416C">
      <w:pPr>
        <w:ind w:firstLine="643" w:firstLineChars="200"/>
        <w:rPr>
          <w:rFonts w:ascii="楷体" w:hAnsi="楷体" w:eastAsia="楷体" w:cs="微软雅黑"/>
          <w:b/>
          <w:kern w:val="0"/>
          <w:sz w:val="32"/>
          <w:szCs w:val="32"/>
        </w:rPr>
      </w:pPr>
      <w:r>
        <w:rPr>
          <w:rFonts w:hint="eastAsia" w:ascii="楷体" w:hAnsi="楷体" w:eastAsia="楷体" w:cs="微软雅黑"/>
          <w:b/>
          <w:kern w:val="0"/>
          <w:sz w:val="32"/>
          <w:szCs w:val="32"/>
        </w:rPr>
        <w:t>（三）受海关或被稽查人委托，就税务相关问题作出专业结论</w:t>
      </w:r>
    </w:p>
    <w:p w14:paraId="622492B9">
      <w:pPr>
        <w:pStyle w:val="28"/>
        <w:spacing w:before="0" w:beforeAutospacing="0" w:after="0" w:afterAutospacing="0"/>
        <w:ind w:firstLine="643" w:firstLineChars="200"/>
        <w:jc w:val="both"/>
        <w:rPr>
          <w:rFonts w:ascii="仿宋" w:hAnsi="仿宋" w:eastAsia="仿宋" w:cs="Helvetica"/>
          <w:sz w:val="32"/>
          <w:szCs w:val="32"/>
        </w:rPr>
      </w:pPr>
      <w:r>
        <w:rPr>
          <w:rFonts w:hint="eastAsia" w:ascii="仿宋" w:hAnsi="仿宋" w:eastAsia="仿宋"/>
          <w:b/>
          <w:sz w:val="32"/>
          <w:szCs w:val="32"/>
        </w:rPr>
        <w:t>法规依据1：</w:t>
      </w:r>
      <w:r>
        <w:rPr>
          <w:rFonts w:hint="eastAsia" w:ascii="仿宋" w:hAnsi="仿宋" w:eastAsia="仿宋" w:cs="Helvetica"/>
          <w:sz w:val="32"/>
          <w:szCs w:val="32"/>
        </w:rPr>
        <w:t>《中华人民共和国海关稽查条例(2022修订)》（中华人民共和国国务院令第752号）</w:t>
      </w:r>
    </w:p>
    <w:p w14:paraId="4B1C7581">
      <w:pPr>
        <w:pStyle w:val="28"/>
        <w:spacing w:before="0" w:beforeAutospacing="0" w:after="0" w:afterAutospacing="0"/>
        <w:ind w:firstLine="643" w:firstLineChars="200"/>
        <w:rPr>
          <w:rFonts w:ascii="仿宋" w:hAnsi="仿宋" w:eastAsia="仿宋" w:cs="Helvetica"/>
          <w:sz w:val="32"/>
          <w:szCs w:val="32"/>
        </w:rPr>
      </w:pPr>
      <w:r>
        <w:rPr>
          <w:rFonts w:hint="eastAsia" w:ascii="仿宋" w:hAnsi="仿宋" w:eastAsia="仿宋"/>
          <w:b/>
          <w:sz w:val="32"/>
          <w:szCs w:val="32"/>
        </w:rPr>
        <w:t>具体内容：</w:t>
      </w:r>
      <w:r>
        <w:rPr>
          <w:rFonts w:hint="eastAsia" w:ascii="仿宋" w:hAnsi="仿宋" w:eastAsia="仿宋" w:cs="Helvetica"/>
          <w:sz w:val="32"/>
          <w:szCs w:val="32"/>
        </w:rPr>
        <w:t>海关进行稽查时，可以委托会计、</w:t>
      </w:r>
      <w:r>
        <w:rPr>
          <w:rFonts w:hint="eastAsia" w:ascii="仿宋" w:hAnsi="仿宋" w:eastAsia="仿宋" w:cs="Helvetica"/>
          <w:b/>
          <w:sz w:val="32"/>
          <w:szCs w:val="32"/>
        </w:rPr>
        <w:t>税务</w:t>
      </w:r>
      <w:r>
        <w:rPr>
          <w:rFonts w:hint="eastAsia" w:ascii="仿宋" w:hAnsi="仿宋" w:eastAsia="仿宋" w:cs="Helvetica"/>
          <w:sz w:val="32"/>
          <w:szCs w:val="32"/>
        </w:rPr>
        <w:t>等方面的</w:t>
      </w:r>
      <w:r>
        <w:rPr>
          <w:rFonts w:hint="eastAsia" w:ascii="仿宋" w:hAnsi="仿宋" w:eastAsia="仿宋" w:cs="Helvetica"/>
          <w:b/>
          <w:sz w:val="32"/>
          <w:szCs w:val="32"/>
        </w:rPr>
        <w:t>专业机构</w:t>
      </w:r>
      <w:r>
        <w:rPr>
          <w:rFonts w:hint="eastAsia" w:ascii="仿宋" w:hAnsi="仿宋" w:eastAsia="仿宋" w:cs="Helvetica"/>
          <w:sz w:val="32"/>
          <w:szCs w:val="32"/>
        </w:rPr>
        <w:t>就相关问题作出专业结论。被稽查人委托会计、</w:t>
      </w:r>
      <w:r>
        <w:rPr>
          <w:rFonts w:hint="eastAsia" w:ascii="仿宋" w:hAnsi="仿宋" w:eastAsia="仿宋" w:cs="Helvetica"/>
          <w:b/>
          <w:sz w:val="32"/>
          <w:szCs w:val="32"/>
        </w:rPr>
        <w:t>税务</w:t>
      </w:r>
      <w:r>
        <w:rPr>
          <w:rFonts w:hint="eastAsia" w:ascii="仿宋" w:hAnsi="仿宋" w:eastAsia="仿宋" w:cs="Helvetica"/>
          <w:sz w:val="32"/>
          <w:szCs w:val="32"/>
        </w:rPr>
        <w:t>等方面的</w:t>
      </w:r>
      <w:r>
        <w:rPr>
          <w:rFonts w:hint="eastAsia" w:ascii="仿宋" w:hAnsi="仿宋" w:eastAsia="仿宋" w:cs="Helvetica"/>
          <w:b/>
          <w:sz w:val="32"/>
          <w:szCs w:val="32"/>
        </w:rPr>
        <w:t>专业机构</w:t>
      </w:r>
      <w:r>
        <w:rPr>
          <w:rFonts w:hint="eastAsia" w:ascii="仿宋" w:hAnsi="仿宋" w:eastAsia="仿宋" w:cs="Helvetica"/>
          <w:sz w:val="32"/>
          <w:szCs w:val="32"/>
        </w:rPr>
        <w:t>作出的专业结论，可以作为海关稽查的参考依据。[第二十一条]</w:t>
      </w:r>
    </w:p>
    <w:p w14:paraId="6DDFECEF">
      <w:pPr>
        <w:pStyle w:val="28"/>
        <w:spacing w:before="0" w:beforeAutospacing="0" w:after="0" w:afterAutospacing="0"/>
        <w:ind w:firstLine="643" w:firstLineChars="200"/>
        <w:rPr>
          <w:rFonts w:ascii="仿宋" w:hAnsi="仿宋" w:eastAsia="仿宋" w:cs="Helvetica"/>
          <w:sz w:val="32"/>
          <w:szCs w:val="32"/>
        </w:rPr>
      </w:pPr>
      <w:r>
        <w:rPr>
          <w:rFonts w:hint="eastAsia" w:ascii="仿宋" w:hAnsi="仿宋" w:eastAsia="仿宋" w:cs="Helvetica"/>
          <w:b/>
          <w:sz w:val="32"/>
          <w:szCs w:val="32"/>
        </w:rPr>
        <w:t>规章</w:t>
      </w:r>
      <w:r>
        <w:rPr>
          <w:rFonts w:ascii="仿宋" w:hAnsi="仿宋" w:eastAsia="仿宋" w:cs="Helvetica"/>
          <w:b/>
          <w:sz w:val="32"/>
          <w:szCs w:val="32"/>
        </w:rPr>
        <w:t>依据</w:t>
      </w:r>
      <w:r>
        <w:rPr>
          <w:rFonts w:hint="eastAsia" w:ascii="仿宋" w:hAnsi="仿宋" w:eastAsia="仿宋" w:cs="Helvetica"/>
          <w:b/>
          <w:sz w:val="32"/>
          <w:szCs w:val="32"/>
        </w:rPr>
        <w:t>2</w:t>
      </w:r>
      <w:r>
        <w:rPr>
          <w:rFonts w:ascii="仿宋" w:hAnsi="仿宋" w:eastAsia="仿宋" w:cs="Helvetica"/>
          <w:b/>
          <w:sz w:val="32"/>
          <w:szCs w:val="32"/>
        </w:rPr>
        <w:t>：</w:t>
      </w:r>
      <w:r>
        <w:rPr>
          <w:rFonts w:hint="eastAsia" w:ascii="仿宋" w:hAnsi="仿宋" w:eastAsia="仿宋" w:cs="Helvetica"/>
          <w:sz w:val="32"/>
          <w:szCs w:val="32"/>
        </w:rPr>
        <w:t>《中华人民共和国海关稽查条例》实施办法(2016)（中华人民共和国海关总署令第230号）</w:t>
      </w:r>
    </w:p>
    <w:p w14:paraId="50882E84">
      <w:pPr>
        <w:pStyle w:val="28"/>
        <w:spacing w:before="0" w:beforeAutospacing="0" w:after="0" w:afterAutospacing="0"/>
        <w:ind w:firstLine="643" w:firstLineChars="200"/>
        <w:rPr>
          <w:rFonts w:ascii="仿宋" w:hAnsi="仿宋" w:eastAsia="仿宋" w:cs="Helvetica"/>
          <w:sz w:val="32"/>
          <w:szCs w:val="32"/>
        </w:rPr>
      </w:pPr>
      <w:r>
        <w:rPr>
          <w:rFonts w:hint="eastAsia" w:ascii="仿宋" w:hAnsi="仿宋" w:eastAsia="仿宋"/>
          <w:b/>
          <w:sz w:val="32"/>
          <w:szCs w:val="32"/>
        </w:rPr>
        <w:t>具体内容：</w:t>
      </w:r>
      <w:r>
        <w:rPr>
          <w:rFonts w:hint="eastAsia" w:ascii="仿宋" w:hAnsi="仿宋" w:eastAsia="仿宋"/>
          <w:sz w:val="32"/>
          <w:szCs w:val="32"/>
        </w:rPr>
        <w:t>海关实施稽查时，可以委托会计师事务所、</w:t>
      </w:r>
      <w:r>
        <w:rPr>
          <w:rFonts w:hint="eastAsia" w:ascii="仿宋" w:hAnsi="仿宋" w:eastAsia="仿宋"/>
          <w:b/>
          <w:sz w:val="32"/>
          <w:szCs w:val="32"/>
        </w:rPr>
        <w:t>税务师事务所</w:t>
      </w:r>
      <w:r>
        <w:rPr>
          <w:rFonts w:hint="eastAsia" w:ascii="仿宋" w:hAnsi="仿宋" w:eastAsia="仿宋"/>
          <w:sz w:val="32"/>
          <w:szCs w:val="32"/>
        </w:rPr>
        <w:t>或者其他具备会计、</w:t>
      </w:r>
      <w:r>
        <w:rPr>
          <w:rFonts w:hint="eastAsia" w:ascii="仿宋" w:hAnsi="仿宋" w:eastAsia="仿宋"/>
          <w:b/>
          <w:sz w:val="32"/>
          <w:szCs w:val="32"/>
        </w:rPr>
        <w:t>税务</w:t>
      </w:r>
      <w:r>
        <w:rPr>
          <w:rFonts w:hint="eastAsia" w:ascii="仿宋" w:hAnsi="仿宋" w:eastAsia="仿宋"/>
          <w:sz w:val="32"/>
          <w:szCs w:val="32"/>
        </w:rPr>
        <w:t>等相关资质和能力的</w:t>
      </w:r>
      <w:r>
        <w:rPr>
          <w:rFonts w:hint="eastAsia" w:ascii="仿宋" w:hAnsi="仿宋" w:eastAsia="仿宋"/>
          <w:b/>
          <w:sz w:val="32"/>
          <w:szCs w:val="32"/>
        </w:rPr>
        <w:t>专业机构</w:t>
      </w:r>
      <w:r>
        <w:rPr>
          <w:rFonts w:hint="eastAsia" w:ascii="仿宋" w:hAnsi="仿宋" w:eastAsia="仿宋"/>
          <w:sz w:val="32"/>
          <w:szCs w:val="32"/>
        </w:rPr>
        <w:t>，就相关问题作出专业结论，经海关认可后可以作为稽查认定事实的证据材料。被稽查人委托专业机构作出的专业结论，可以作为海关稽查的参考依据。[第二十四条]</w:t>
      </w:r>
    </w:p>
    <w:p w14:paraId="597241D0">
      <w:pPr>
        <w:pStyle w:val="28"/>
        <w:spacing w:before="0" w:beforeAutospacing="0" w:after="0" w:afterAutospacing="0"/>
        <w:ind w:firstLine="643" w:firstLineChars="200"/>
        <w:rPr>
          <w:rFonts w:ascii="仿宋" w:hAnsi="仿宋" w:eastAsia="仿宋" w:cs="微软雅黑"/>
          <w:sz w:val="32"/>
          <w:szCs w:val="32"/>
        </w:rPr>
      </w:pPr>
      <w:r>
        <w:rPr>
          <w:rFonts w:hint="eastAsia" w:ascii="仿宋" w:hAnsi="仿宋" w:eastAsia="仿宋"/>
          <w:b/>
          <w:sz w:val="32"/>
          <w:szCs w:val="32"/>
        </w:rPr>
        <w:t>业务拓展建议：</w:t>
      </w:r>
      <w:r>
        <w:rPr>
          <w:rFonts w:hint="eastAsia" w:ascii="仿宋" w:hAnsi="仿宋" w:eastAsia="仿宋" w:cs="微软雅黑"/>
          <w:sz w:val="32"/>
          <w:szCs w:val="32"/>
        </w:rPr>
        <w:t>1.积极争取协助海关稽查工作，</w:t>
      </w:r>
      <w:r>
        <w:rPr>
          <w:rFonts w:ascii="仿宋" w:hAnsi="仿宋" w:eastAsia="仿宋" w:cs="微软雅黑"/>
          <w:sz w:val="32"/>
          <w:szCs w:val="32"/>
        </w:rPr>
        <w:t>为海关稽查提供专业税务</w:t>
      </w:r>
      <w:r>
        <w:rPr>
          <w:rFonts w:hint="eastAsia" w:ascii="仿宋" w:hAnsi="仿宋" w:eastAsia="仿宋" w:cs="微软雅黑"/>
          <w:sz w:val="32"/>
          <w:szCs w:val="32"/>
        </w:rPr>
        <w:t>判断</w:t>
      </w:r>
      <w:r>
        <w:rPr>
          <w:rFonts w:ascii="仿宋" w:hAnsi="仿宋" w:eastAsia="仿宋" w:cs="微软雅黑"/>
          <w:sz w:val="32"/>
          <w:szCs w:val="32"/>
        </w:rPr>
        <w:t>。</w:t>
      </w:r>
      <w:r>
        <w:rPr>
          <w:rFonts w:hint="eastAsia" w:ascii="仿宋" w:hAnsi="仿宋" w:eastAsia="仿宋" w:cs="微软雅黑"/>
          <w:sz w:val="32"/>
          <w:szCs w:val="32"/>
        </w:rPr>
        <w:t>2.为进出口企业提供专业税务咨询服务。3.针对</w:t>
      </w:r>
      <w:bookmarkStart w:id="5" w:name="_Hlk174537831"/>
      <w:r>
        <w:rPr>
          <w:rFonts w:hint="eastAsia" w:ascii="仿宋" w:hAnsi="仿宋" w:eastAsia="仿宋" w:cs="微软雅黑"/>
          <w:sz w:val="32"/>
          <w:szCs w:val="32"/>
        </w:rPr>
        <w:t>稽查</w:t>
      </w:r>
      <w:bookmarkEnd w:id="5"/>
      <w:r>
        <w:rPr>
          <w:rFonts w:hint="eastAsia" w:ascii="仿宋" w:hAnsi="仿宋" w:eastAsia="仿宋" w:cs="微软雅黑"/>
          <w:sz w:val="32"/>
          <w:szCs w:val="32"/>
        </w:rPr>
        <w:t>争议问题，</w:t>
      </w:r>
      <w:r>
        <w:rPr>
          <w:rFonts w:ascii="仿宋" w:hAnsi="仿宋" w:eastAsia="仿宋" w:cs="微软雅黑"/>
          <w:sz w:val="32"/>
          <w:szCs w:val="32"/>
        </w:rPr>
        <w:t>代表企业与海关</w:t>
      </w:r>
      <w:r>
        <w:rPr>
          <w:rFonts w:hint="eastAsia" w:ascii="仿宋" w:hAnsi="仿宋" w:eastAsia="仿宋" w:cs="微软雅黑"/>
          <w:sz w:val="32"/>
          <w:szCs w:val="32"/>
        </w:rPr>
        <w:t>稽查部门</w:t>
      </w:r>
      <w:r>
        <w:rPr>
          <w:rFonts w:ascii="仿宋" w:hAnsi="仿宋" w:eastAsia="仿宋" w:cs="微软雅黑"/>
          <w:sz w:val="32"/>
          <w:szCs w:val="32"/>
        </w:rPr>
        <w:t>进行沟通。</w:t>
      </w:r>
      <w:r>
        <w:rPr>
          <w:rFonts w:hint="eastAsia" w:ascii="仿宋" w:hAnsi="仿宋" w:eastAsia="仿宋" w:cs="微软雅黑"/>
          <w:sz w:val="32"/>
          <w:szCs w:val="32"/>
        </w:rPr>
        <w:t>4.为进出口企业提供退税咨询和代理服务。</w:t>
      </w:r>
    </w:p>
    <w:p w14:paraId="151B98A0">
      <w:pPr>
        <w:pStyle w:val="28"/>
        <w:spacing w:before="0" w:beforeAutospacing="0" w:after="0" w:afterAutospacing="0"/>
        <w:ind w:firstLine="643" w:firstLineChars="200"/>
        <w:jc w:val="both"/>
        <w:rPr>
          <w:rFonts w:ascii="楷体" w:hAnsi="楷体" w:eastAsia="楷体" w:cs="微软雅黑"/>
          <w:b/>
          <w:sz w:val="32"/>
          <w:szCs w:val="32"/>
        </w:rPr>
      </w:pPr>
      <w:r>
        <w:rPr>
          <w:rFonts w:hint="eastAsia" w:ascii="楷体" w:hAnsi="楷体" w:eastAsia="楷体" w:cs="微软雅黑"/>
          <w:b/>
          <w:sz w:val="32"/>
          <w:szCs w:val="32"/>
        </w:rPr>
        <w:t>（四）受法院指定，担任破产管理人</w:t>
      </w:r>
    </w:p>
    <w:p w14:paraId="51FBFCA3">
      <w:pPr>
        <w:widowControl/>
        <w:shd w:val="clear" w:color="auto" w:fill="FFFFFF"/>
        <w:ind w:firstLine="643" w:firstLineChars="200"/>
        <w:rPr>
          <w:rFonts w:ascii="仿宋" w:hAnsi="仿宋" w:eastAsia="仿宋" w:cs="Helvetica"/>
          <w:kern w:val="0"/>
          <w:sz w:val="32"/>
          <w:szCs w:val="32"/>
        </w:rPr>
      </w:pPr>
      <w:r>
        <w:rPr>
          <w:rFonts w:hint="eastAsia" w:ascii="仿宋" w:hAnsi="仿宋" w:eastAsia="仿宋" w:cs="Helvetica"/>
          <w:b/>
          <w:bCs/>
          <w:kern w:val="0"/>
          <w:sz w:val="32"/>
          <w:szCs w:val="32"/>
        </w:rPr>
        <w:t>法律</w:t>
      </w:r>
      <w:r>
        <w:rPr>
          <w:rFonts w:ascii="仿宋" w:hAnsi="仿宋" w:eastAsia="仿宋" w:cs="Helvetica"/>
          <w:b/>
          <w:bCs/>
          <w:kern w:val="0"/>
          <w:sz w:val="32"/>
          <w:szCs w:val="32"/>
        </w:rPr>
        <w:t>依据</w:t>
      </w:r>
      <w:r>
        <w:rPr>
          <w:rFonts w:hint="eastAsia" w:ascii="仿宋" w:hAnsi="仿宋" w:eastAsia="仿宋" w:cs="Helvetica"/>
          <w:b/>
          <w:bCs/>
          <w:kern w:val="0"/>
          <w:sz w:val="32"/>
          <w:szCs w:val="32"/>
        </w:rPr>
        <w:t>1</w:t>
      </w:r>
      <w:r>
        <w:rPr>
          <w:rFonts w:ascii="仿宋" w:hAnsi="仿宋" w:eastAsia="仿宋" w:cs="Helvetica"/>
          <w:b/>
          <w:bCs/>
          <w:kern w:val="0"/>
          <w:sz w:val="32"/>
          <w:szCs w:val="32"/>
        </w:rPr>
        <w:t>：</w:t>
      </w:r>
      <w:r>
        <w:rPr>
          <w:rFonts w:hint="eastAsia" w:ascii="仿宋" w:hAnsi="仿宋" w:eastAsia="仿宋" w:cs="Helvetica"/>
          <w:kern w:val="0"/>
          <w:sz w:val="32"/>
          <w:szCs w:val="32"/>
        </w:rPr>
        <w:t>《中华人民共和国企业破产法》(2006)（中华人民共和国主席令第54号）</w:t>
      </w:r>
    </w:p>
    <w:p w14:paraId="1CE75425">
      <w:pPr>
        <w:widowControl/>
        <w:shd w:val="clear" w:color="auto" w:fill="FFFFFF"/>
        <w:ind w:firstLine="643" w:firstLineChars="200"/>
        <w:rPr>
          <w:rFonts w:ascii="仿宋" w:hAnsi="仿宋" w:eastAsia="仿宋" w:cs="Helvetica"/>
          <w:kern w:val="0"/>
          <w:sz w:val="32"/>
          <w:szCs w:val="32"/>
        </w:rPr>
      </w:pPr>
      <w:r>
        <w:rPr>
          <w:rFonts w:hint="eastAsia" w:ascii="仿宋" w:hAnsi="仿宋" w:eastAsia="仿宋" w:cs="Helvetica"/>
          <w:b/>
          <w:bCs/>
          <w:kern w:val="0"/>
          <w:sz w:val="32"/>
          <w:szCs w:val="32"/>
        </w:rPr>
        <w:t>具体内容：</w:t>
      </w:r>
      <w:r>
        <w:rPr>
          <w:rFonts w:hint="eastAsia" w:ascii="仿宋" w:hAnsi="仿宋" w:eastAsia="仿宋" w:cs="Helvetica"/>
          <w:kern w:val="0"/>
          <w:sz w:val="32"/>
          <w:szCs w:val="32"/>
        </w:rPr>
        <w:t>管理人可以由有关部门、机构的人员组成的清算组或者依法设立的律师事务所、会计师事务所、破产清算事务所</w:t>
      </w:r>
      <w:r>
        <w:rPr>
          <w:rFonts w:hint="eastAsia" w:ascii="仿宋" w:hAnsi="仿宋" w:eastAsia="仿宋" w:cs="Helvetica"/>
          <w:b/>
          <w:bCs/>
          <w:kern w:val="0"/>
          <w:sz w:val="32"/>
          <w:szCs w:val="32"/>
        </w:rPr>
        <w:t>等社会中介机构</w:t>
      </w:r>
      <w:r>
        <w:rPr>
          <w:rFonts w:hint="eastAsia" w:ascii="仿宋" w:hAnsi="仿宋" w:eastAsia="仿宋" w:cs="Helvetica"/>
          <w:kern w:val="0"/>
          <w:sz w:val="32"/>
          <w:szCs w:val="32"/>
        </w:rPr>
        <w:t>担任。</w:t>
      </w:r>
    </w:p>
    <w:p w14:paraId="74B2FF35">
      <w:pPr>
        <w:widowControl/>
        <w:shd w:val="clear" w:color="auto" w:fill="FFFFFF"/>
        <w:ind w:firstLine="640" w:firstLineChars="200"/>
        <w:rPr>
          <w:rFonts w:ascii="仿宋" w:hAnsi="仿宋" w:eastAsia="仿宋" w:cs="Helvetica"/>
          <w:kern w:val="0"/>
          <w:sz w:val="32"/>
          <w:szCs w:val="32"/>
        </w:rPr>
      </w:pPr>
      <w:r>
        <w:rPr>
          <w:rFonts w:hint="eastAsia" w:ascii="仿宋" w:hAnsi="仿宋" w:eastAsia="仿宋" w:cs="Helvetica"/>
          <w:kern w:val="0"/>
          <w:sz w:val="32"/>
          <w:szCs w:val="32"/>
        </w:rPr>
        <w:t>人民法院根据债务人的实际情况，可以在征询有关社会中介机构的意见后，指定该机构具备相关专业知识并取得执业资格的人员担任管理人。[第二十四条]</w:t>
      </w:r>
    </w:p>
    <w:p w14:paraId="1932625F">
      <w:pPr>
        <w:pStyle w:val="28"/>
        <w:spacing w:before="0" w:beforeAutospacing="0" w:after="0" w:afterAutospacing="0"/>
        <w:ind w:firstLine="643" w:firstLineChars="200"/>
        <w:jc w:val="both"/>
        <w:rPr>
          <w:rFonts w:ascii="仿宋" w:hAnsi="仿宋" w:eastAsia="仿宋" w:cs="微软雅黑"/>
          <w:sz w:val="32"/>
          <w:szCs w:val="32"/>
        </w:rPr>
      </w:pPr>
      <w:r>
        <w:rPr>
          <w:rFonts w:hint="eastAsia" w:ascii="仿宋" w:hAnsi="仿宋" w:eastAsia="仿宋" w:cs="微软雅黑"/>
          <w:b/>
          <w:sz w:val="32"/>
          <w:szCs w:val="32"/>
        </w:rPr>
        <w:t>地方司法依据2：</w:t>
      </w:r>
      <w:r>
        <w:fldChar w:fldCharType="begin"/>
      </w:r>
      <w:r>
        <w:instrText xml:space="preserve"> HYPERLINK "https://www.pkulaw.com/lar/d10c6caef2463037cec27ec06113a5cabdfb.html?keyword=%E6%B5%99%E6%B1%9F%E7%9C%81%E9%AB%98%E7%BA%A7%E4%BA%BA%E6%B0%91%E6%B3%95%E9%99%A2%E5%85%B3%E4%BA%8E%E5%8D%B0%E5%8F%91%3C%E6%B5%99%E6%B1%9F%E7%9C%81%E7%A0%B4%E4%BA%A7%E7%AE%A1%E7%90%86%E4%BA%BA%E5%8A%A8%E6%80%81%E7%AE%A1%E7%90%86%E5%8A%9E%E6%B3%95%EF%BC%88%E8%AF%95%E8%A1%8C%EF%BC%89%3E%E7%9A%84%E9%80%9A%E7%9F%A5&amp;way=listView" \t "_blank" </w:instrText>
      </w:r>
      <w:r>
        <w:fldChar w:fldCharType="separate"/>
      </w:r>
      <w:r>
        <w:rPr>
          <w:rFonts w:ascii="仿宋" w:hAnsi="仿宋" w:eastAsia="仿宋" w:cs="微软雅黑"/>
          <w:sz w:val="32"/>
          <w:szCs w:val="32"/>
        </w:rPr>
        <w:t>浙江省高级人民法院关于印发《浙江省破产管理人动态管理办法(试行)》的通知</w:t>
      </w:r>
      <w:r>
        <w:rPr>
          <w:rFonts w:ascii="仿宋" w:hAnsi="仿宋" w:eastAsia="仿宋" w:cs="微软雅黑"/>
          <w:sz w:val="32"/>
          <w:szCs w:val="32"/>
        </w:rPr>
        <w:fldChar w:fldCharType="end"/>
      </w:r>
      <w:r>
        <w:rPr>
          <w:rFonts w:hint="eastAsia" w:ascii="仿宋" w:hAnsi="仿宋" w:eastAsia="仿宋" w:cs="微软雅黑"/>
          <w:sz w:val="32"/>
          <w:szCs w:val="32"/>
        </w:rPr>
        <w:t>（浙高法〔2020〕95号）</w:t>
      </w:r>
    </w:p>
    <w:p w14:paraId="723391A2">
      <w:pPr>
        <w:ind w:firstLine="643" w:firstLineChars="200"/>
        <w:rPr>
          <w:rFonts w:ascii="仿宋" w:hAnsi="仿宋" w:eastAsia="仿宋" w:cs="微软雅黑"/>
          <w:sz w:val="32"/>
          <w:szCs w:val="32"/>
        </w:rPr>
      </w:pPr>
      <w:r>
        <w:rPr>
          <w:rFonts w:hint="eastAsia" w:ascii="仿宋" w:hAnsi="仿宋" w:eastAsia="仿宋" w:cs="微软雅黑"/>
          <w:b/>
          <w:sz w:val="32"/>
          <w:szCs w:val="32"/>
        </w:rPr>
        <w:t>具体内容：</w:t>
      </w:r>
      <w:r>
        <w:rPr>
          <w:rFonts w:hint="eastAsia" w:ascii="仿宋" w:hAnsi="仿宋" w:eastAsia="仿宋" w:cs="微软雅黑"/>
          <w:sz w:val="32"/>
          <w:szCs w:val="32"/>
        </w:rPr>
        <w:t>市级管理人由各中级法院根据破产案件审理需要，结合管理人退出、除名等情况，从符合条件的律师事务所、会计师事务所、破产清算事务所、</w:t>
      </w:r>
      <w:r>
        <w:rPr>
          <w:rFonts w:hint="eastAsia" w:ascii="仿宋" w:hAnsi="仿宋" w:eastAsia="仿宋" w:cs="微软雅黑"/>
          <w:b/>
          <w:sz w:val="32"/>
          <w:szCs w:val="32"/>
        </w:rPr>
        <w:t>税务师事务所</w:t>
      </w:r>
      <w:r>
        <w:rPr>
          <w:rFonts w:hint="eastAsia" w:ascii="仿宋" w:hAnsi="仿宋" w:eastAsia="仿宋" w:cs="微软雅黑"/>
          <w:sz w:val="32"/>
          <w:szCs w:val="32"/>
        </w:rPr>
        <w:t>等社会中介机构中增补，报本院备案后实施。[第十三条]</w:t>
      </w:r>
    </w:p>
    <w:p w14:paraId="35DA975A">
      <w:pPr>
        <w:pStyle w:val="28"/>
        <w:spacing w:before="0" w:beforeAutospacing="0" w:after="0" w:afterAutospacing="0"/>
        <w:ind w:firstLine="643" w:firstLineChars="200"/>
        <w:jc w:val="both"/>
        <w:rPr>
          <w:rFonts w:ascii="仿宋" w:hAnsi="仿宋" w:eastAsia="仿宋" w:cs="微软雅黑"/>
          <w:sz w:val="32"/>
          <w:szCs w:val="32"/>
        </w:rPr>
      </w:pPr>
      <w:r>
        <w:rPr>
          <w:rFonts w:hint="eastAsia" w:ascii="仿宋" w:hAnsi="仿宋" w:eastAsia="仿宋" w:cs="微软雅黑"/>
          <w:b/>
          <w:sz w:val="32"/>
          <w:szCs w:val="32"/>
        </w:rPr>
        <w:t>司法解释3：</w:t>
      </w:r>
      <w:r>
        <w:rPr>
          <w:rFonts w:ascii="仿宋" w:hAnsi="仿宋" w:eastAsia="仿宋" w:cs="微软雅黑"/>
          <w:sz w:val="32"/>
          <w:szCs w:val="32"/>
        </w:rPr>
        <w:t>《最高人民法院关于审理企业破产案件指定管理人的规定》</w:t>
      </w:r>
      <w:r>
        <w:rPr>
          <w:rFonts w:hint="eastAsia" w:ascii="仿宋" w:hAnsi="仿宋" w:eastAsia="仿宋" w:cs="微软雅黑"/>
          <w:sz w:val="32"/>
          <w:szCs w:val="32"/>
        </w:rPr>
        <w:t>（法释〔2007〕8号）</w:t>
      </w:r>
    </w:p>
    <w:p w14:paraId="591A3BC0">
      <w:pPr>
        <w:pStyle w:val="28"/>
        <w:spacing w:before="0" w:beforeAutospacing="0" w:after="0" w:afterAutospacing="0"/>
        <w:ind w:firstLine="643" w:firstLineChars="200"/>
        <w:jc w:val="both"/>
        <w:rPr>
          <w:rFonts w:ascii="仿宋" w:hAnsi="仿宋" w:eastAsia="仿宋" w:cs="Arial"/>
          <w:sz w:val="32"/>
          <w:szCs w:val="32"/>
          <w:shd w:val="clear" w:color="auto" w:fill="FFFFFF"/>
        </w:rPr>
      </w:pPr>
      <w:r>
        <w:rPr>
          <w:rFonts w:hint="eastAsia" w:ascii="仿宋" w:hAnsi="仿宋" w:eastAsia="仿宋" w:cs="微软雅黑"/>
          <w:b/>
          <w:sz w:val="32"/>
          <w:szCs w:val="32"/>
        </w:rPr>
        <w:t>具体内容：</w:t>
      </w:r>
      <w:r>
        <w:rPr>
          <w:rFonts w:ascii="仿宋" w:hAnsi="仿宋" w:eastAsia="仿宋" w:cs="Arial"/>
          <w:sz w:val="32"/>
          <w:szCs w:val="32"/>
          <w:shd w:val="clear" w:color="auto" w:fill="FFFFFF"/>
        </w:rPr>
        <w:t>符合企业破产法规定条件的</w:t>
      </w:r>
      <w:r>
        <w:rPr>
          <w:rFonts w:ascii="仿宋" w:hAnsi="仿宋" w:eastAsia="仿宋" w:cs="Arial"/>
          <w:b/>
          <w:sz w:val="32"/>
          <w:szCs w:val="32"/>
          <w:shd w:val="clear" w:color="auto" w:fill="FFFFFF"/>
        </w:rPr>
        <w:t>社会中介机构</w:t>
      </w:r>
      <w:r>
        <w:rPr>
          <w:rFonts w:ascii="仿宋" w:hAnsi="仿宋" w:eastAsia="仿宋" w:cs="Arial"/>
          <w:sz w:val="32"/>
          <w:szCs w:val="32"/>
          <w:shd w:val="clear" w:color="auto" w:fill="FFFFFF"/>
        </w:rPr>
        <w:t>及其具备相关专业知识并取得执业资格的人员，均可申请编入管理人名册。已被编入机构管理人名册的社会中介机构中，具备相关专业知识并取得执业资格的人员，可以申请编入个人管理人名册。</w:t>
      </w:r>
      <w:r>
        <w:rPr>
          <w:rFonts w:hint="eastAsia" w:ascii="仿宋" w:hAnsi="仿宋" w:eastAsia="仿宋" w:cs="Arial"/>
          <w:sz w:val="32"/>
          <w:szCs w:val="32"/>
          <w:shd w:val="clear" w:color="auto" w:fill="FFFFFF"/>
        </w:rPr>
        <w:t>[</w:t>
      </w:r>
      <w:r>
        <w:rPr>
          <w:rStyle w:val="29"/>
          <w:rFonts w:ascii="仿宋" w:hAnsi="仿宋" w:eastAsia="仿宋" w:cs="Arial"/>
          <w:sz w:val="32"/>
          <w:szCs w:val="32"/>
          <w:shd w:val="clear" w:color="auto" w:fill="FFFFFF"/>
        </w:rPr>
        <w:t>第三条</w:t>
      </w:r>
      <w:r>
        <w:rPr>
          <w:rFonts w:hint="eastAsia" w:ascii="仿宋" w:hAnsi="仿宋" w:eastAsia="仿宋" w:cs="Arial"/>
          <w:sz w:val="32"/>
          <w:szCs w:val="32"/>
          <w:shd w:val="clear" w:color="auto" w:fill="FFFFFF"/>
        </w:rPr>
        <w:t>]</w:t>
      </w:r>
    </w:p>
    <w:p w14:paraId="6CAB204B">
      <w:pPr>
        <w:pStyle w:val="28"/>
        <w:spacing w:before="0" w:beforeAutospacing="0" w:after="0" w:afterAutospacing="0"/>
        <w:ind w:firstLine="643" w:firstLineChars="200"/>
        <w:jc w:val="both"/>
        <w:rPr>
          <w:rFonts w:ascii="仿宋" w:hAnsi="仿宋" w:eastAsia="仿宋" w:cs="微软雅黑"/>
          <w:sz w:val="32"/>
          <w:szCs w:val="32"/>
        </w:rPr>
      </w:pPr>
      <w:r>
        <w:rPr>
          <w:rFonts w:ascii="仿宋" w:hAnsi="仿宋" w:eastAsia="仿宋" w:cs="微软雅黑"/>
          <w:b/>
          <w:sz w:val="32"/>
          <w:szCs w:val="32"/>
        </w:rPr>
        <w:t>司法解释</w:t>
      </w:r>
      <w:r>
        <w:rPr>
          <w:rFonts w:hint="eastAsia" w:ascii="仿宋" w:hAnsi="仿宋" w:eastAsia="仿宋" w:cs="微软雅黑"/>
          <w:b/>
          <w:sz w:val="32"/>
          <w:szCs w:val="32"/>
        </w:rPr>
        <w:t>4：</w:t>
      </w:r>
      <w:r>
        <w:rPr>
          <w:rFonts w:hint="eastAsia" w:ascii="仿宋" w:hAnsi="仿宋" w:eastAsia="仿宋" w:cs="微软雅黑"/>
          <w:sz w:val="32"/>
          <w:szCs w:val="32"/>
        </w:rPr>
        <w:t>《</w:t>
      </w:r>
      <w:r>
        <w:rPr>
          <w:rFonts w:ascii="仿宋" w:hAnsi="仿宋" w:eastAsia="仿宋" w:cs="微软雅黑"/>
          <w:sz w:val="32"/>
          <w:szCs w:val="32"/>
        </w:rPr>
        <w:t>最高人民法院关于审理企业破产案件确定管理人报酬的规定</w:t>
      </w:r>
      <w:r>
        <w:rPr>
          <w:rFonts w:hint="eastAsia" w:ascii="仿宋" w:hAnsi="仿宋" w:eastAsia="仿宋" w:cs="微软雅黑"/>
          <w:sz w:val="32"/>
          <w:szCs w:val="32"/>
        </w:rPr>
        <w:t>》（法释〔2007〕9号）</w:t>
      </w:r>
    </w:p>
    <w:p w14:paraId="0BFA2F9A">
      <w:pPr>
        <w:shd w:val="clear" w:color="auto" w:fill="FFFFFF"/>
        <w:ind w:firstLine="643" w:firstLineChars="200"/>
        <w:rPr>
          <w:rFonts w:ascii="仿宋" w:hAnsi="仿宋" w:eastAsia="仿宋" w:cs="Arial"/>
          <w:kern w:val="0"/>
          <w:sz w:val="32"/>
          <w:szCs w:val="32"/>
        </w:rPr>
      </w:pPr>
      <w:r>
        <w:rPr>
          <w:rFonts w:hint="eastAsia" w:ascii="仿宋" w:hAnsi="仿宋" w:eastAsia="仿宋" w:cs="微软雅黑"/>
          <w:b/>
          <w:sz w:val="32"/>
          <w:szCs w:val="32"/>
        </w:rPr>
        <w:t>具体内容：</w:t>
      </w:r>
      <w:bookmarkStart w:id="6" w:name="tiao_14_kuan_1"/>
      <w:bookmarkEnd w:id="6"/>
      <w:r>
        <w:rPr>
          <w:rFonts w:ascii="仿宋" w:hAnsi="仿宋" w:eastAsia="仿宋" w:cs="Arial"/>
          <w:kern w:val="0"/>
          <w:sz w:val="32"/>
          <w:szCs w:val="32"/>
        </w:rPr>
        <w:t>律师事务所、会计师事务所通过聘请本专业的</w:t>
      </w:r>
      <w:r>
        <w:rPr>
          <w:rFonts w:ascii="仿宋" w:hAnsi="仿宋" w:eastAsia="仿宋" w:cs="Arial"/>
          <w:b/>
          <w:kern w:val="0"/>
          <w:sz w:val="32"/>
          <w:szCs w:val="32"/>
        </w:rPr>
        <w:t>其他社会中介机构</w:t>
      </w:r>
      <w:r>
        <w:rPr>
          <w:rFonts w:ascii="仿宋" w:hAnsi="仿宋" w:eastAsia="仿宋" w:cs="Arial"/>
          <w:kern w:val="0"/>
          <w:sz w:val="32"/>
          <w:szCs w:val="32"/>
        </w:rPr>
        <w:t>或者人员协助履行管理人职责的，所需费用从其报酬中支付。</w:t>
      </w:r>
    </w:p>
    <w:p w14:paraId="33ADF6B5">
      <w:pPr>
        <w:widowControl/>
        <w:shd w:val="clear" w:color="auto" w:fill="FFFFFF"/>
        <w:ind w:firstLine="480"/>
        <w:jc w:val="left"/>
        <w:rPr>
          <w:rFonts w:ascii="仿宋" w:hAnsi="仿宋" w:eastAsia="仿宋" w:cs="Arial"/>
          <w:kern w:val="0"/>
          <w:sz w:val="32"/>
          <w:szCs w:val="32"/>
        </w:rPr>
      </w:pPr>
      <w:bookmarkStart w:id="7" w:name="tiao_14_kuan_2"/>
      <w:bookmarkEnd w:id="7"/>
      <w:r>
        <w:rPr>
          <w:rFonts w:ascii="仿宋" w:hAnsi="仿宋" w:eastAsia="仿宋" w:cs="Arial"/>
          <w:kern w:val="0"/>
          <w:sz w:val="32"/>
          <w:szCs w:val="32"/>
        </w:rPr>
        <w:t>破产清算事务所通过聘请其他社会中介机构或者人员协助履行管理人职责的，所需费用从其报酬中支付。[第十四条]</w:t>
      </w:r>
    </w:p>
    <w:p w14:paraId="0ACDA443">
      <w:pPr>
        <w:pStyle w:val="28"/>
        <w:spacing w:before="0" w:beforeAutospacing="0" w:after="0" w:afterAutospacing="0"/>
        <w:ind w:firstLine="643" w:firstLineChars="200"/>
        <w:rPr>
          <w:rFonts w:ascii="仿宋" w:hAnsi="仿宋" w:eastAsia="仿宋" w:cs="Helvetica"/>
          <w:sz w:val="32"/>
          <w:szCs w:val="32"/>
        </w:rPr>
      </w:pPr>
      <w:r>
        <w:rPr>
          <w:rFonts w:ascii="仿宋" w:hAnsi="仿宋" w:eastAsia="仿宋" w:cs="Helvetica"/>
          <w:b/>
          <w:sz w:val="32"/>
          <w:szCs w:val="32"/>
        </w:rPr>
        <w:t>业务拓展建议：</w:t>
      </w:r>
      <w:r>
        <w:rPr>
          <w:rFonts w:hint="eastAsia" w:ascii="仿宋" w:hAnsi="仿宋" w:eastAsia="仿宋" w:cs="Helvetica"/>
          <w:sz w:val="32"/>
          <w:szCs w:val="32"/>
        </w:rPr>
        <w:t>1.积极争取被编入法院管理人名册，参与</w:t>
      </w:r>
      <w:r>
        <w:rPr>
          <w:rFonts w:ascii="仿宋" w:hAnsi="仿宋" w:eastAsia="仿宋" w:cs="Helvetica"/>
          <w:sz w:val="32"/>
          <w:szCs w:val="32"/>
        </w:rPr>
        <w:t>处理企业</w:t>
      </w:r>
      <w:r>
        <w:rPr>
          <w:rFonts w:hint="eastAsia" w:ascii="仿宋" w:hAnsi="仿宋" w:eastAsia="仿宋" w:cs="Helvetica"/>
          <w:sz w:val="32"/>
          <w:szCs w:val="32"/>
        </w:rPr>
        <w:t>重整</w:t>
      </w:r>
      <w:r>
        <w:rPr>
          <w:rFonts w:ascii="仿宋" w:hAnsi="仿宋" w:eastAsia="仿宋" w:cs="Helvetica"/>
          <w:sz w:val="32"/>
          <w:szCs w:val="32"/>
        </w:rPr>
        <w:t>或破产清算事项</w:t>
      </w:r>
      <w:r>
        <w:rPr>
          <w:rFonts w:hint="eastAsia" w:ascii="仿宋" w:hAnsi="仿宋" w:eastAsia="仿宋" w:cs="Helvetica"/>
          <w:sz w:val="32"/>
          <w:szCs w:val="32"/>
        </w:rPr>
        <w:t>。2.加强</w:t>
      </w:r>
      <w:r>
        <w:rPr>
          <w:rFonts w:ascii="仿宋" w:hAnsi="仿宋" w:eastAsia="仿宋" w:cs="Helvetica"/>
          <w:sz w:val="32"/>
          <w:szCs w:val="32"/>
        </w:rPr>
        <w:t>与已</w:t>
      </w:r>
      <w:r>
        <w:rPr>
          <w:rFonts w:hint="eastAsia" w:ascii="仿宋" w:hAnsi="仿宋" w:eastAsia="仿宋" w:cs="Helvetica"/>
          <w:sz w:val="32"/>
          <w:szCs w:val="32"/>
        </w:rPr>
        <w:t>编入</w:t>
      </w:r>
      <w:r>
        <w:rPr>
          <w:rFonts w:ascii="仿宋" w:hAnsi="仿宋" w:eastAsia="仿宋" w:cs="Helvetica"/>
          <w:sz w:val="32"/>
          <w:szCs w:val="32"/>
        </w:rPr>
        <w:t>破产管理人名册的律师事务所、会计师事务所合作，</w:t>
      </w:r>
      <w:r>
        <w:rPr>
          <w:rFonts w:hint="eastAsia" w:ascii="仿宋" w:hAnsi="仿宋" w:eastAsia="仿宋" w:cs="Helvetica"/>
          <w:sz w:val="32"/>
          <w:szCs w:val="32"/>
        </w:rPr>
        <w:t>为破产企业提供涉税专业服务</w:t>
      </w:r>
      <w:r>
        <w:rPr>
          <w:rFonts w:ascii="仿宋" w:hAnsi="仿宋" w:eastAsia="仿宋" w:cs="Helvetica"/>
          <w:sz w:val="32"/>
          <w:szCs w:val="32"/>
        </w:rPr>
        <w:t>。</w:t>
      </w:r>
    </w:p>
    <w:p w14:paraId="3F64484D">
      <w:pPr>
        <w:pStyle w:val="28"/>
        <w:spacing w:before="0" w:beforeAutospacing="0" w:after="0" w:afterAutospacing="0"/>
        <w:ind w:firstLine="643" w:firstLineChars="200"/>
        <w:jc w:val="both"/>
        <w:rPr>
          <w:rFonts w:ascii="仿宋" w:hAnsi="仿宋" w:eastAsia="仿宋" w:cs="微软雅黑"/>
          <w:sz w:val="32"/>
          <w:szCs w:val="32"/>
        </w:rPr>
      </w:pPr>
      <w:r>
        <w:rPr>
          <w:rFonts w:hint="eastAsia" w:ascii="仿宋" w:hAnsi="仿宋" w:eastAsia="仿宋" w:cs="微软雅黑"/>
          <w:b/>
          <w:sz w:val="32"/>
          <w:szCs w:val="32"/>
        </w:rPr>
        <w:t>部分地区税务师事务所成为破产管理人情况：</w:t>
      </w:r>
      <w:r>
        <w:rPr>
          <w:rFonts w:hint="eastAsia" w:ascii="仿宋" w:hAnsi="仿宋" w:eastAsia="仿宋" w:cs="微软雅黑"/>
          <w:sz w:val="32"/>
          <w:szCs w:val="32"/>
        </w:rPr>
        <w:t>江苏南京市中院2021年公布9家税务师事务所与律师事务所联合申报成为破产管理人。重庆五中院2024年公布</w:t>
      </w:r>
      <w:r>
        <w:rPr>
          <w:rFonts w:ascii="仿宋" w:hAnsi="仿宋" w:eastAsia="仿宋" w:cs="Times New Roman"/>
          <w:bCs/>
          <w:kern w:val="2"/>
          <w:sz w:val="32"/>
          <w:szCs w:val="32"/>
          <w:shd w:val="clear" w:color="auto" w:fill="FFFFFF"/>
        </w:rPr>
        <w:t>重庆尚翎普华税务师事务所有限责任公司、中税科信税务师事务所有限公司等</w:t>
      </w:r>
      <w:r>
        <w:rPr>
          <w:rFonts w:hint="eastAsia" w:ascii="仿宋" w:hAnsi="仿宋" w:eastAsia="仿宋" w:cs="Times New Roman"/>
          <w:bCs/>
          <w:kern w:val="2"/>
          <w:sz w:val="32"/>
          <w:szCs w:val="32"/>
          <w:shd w:val="clear" w:color="auto" w:fill="FFFFFF"/>
        </w:rPr>
        <w:t>2家税务师事务所</w:t>
      </w:r>
      <w:r>
        <w:rPr>
          <w:rFonts w:hint="eastAsia" w:ascii="仿宋" w:hAnsi="仿宋" w:eastAsia="仿宋" w:cs="微软雅黑"/>
          <w:sz w:val="32"/>
          <w:szCs w:val="32"/>
        </w:rPr>
        <w:t>成为二级破产管理人。贵州毕节市、黔西南州、黔东南州等地区2018年、2020年共公布5家税务师事务所成为贵州省一级、二级、三级破产管理人。江西省高院2022年公布江西5家税务师事务所增补为三级破产管理人。陕西晋中中院2022年增补山西税务师事务所有限公司晋中分所为二级破产管理人。青海高院2020年增补青海国富浩华税</w:t>
      </w:r>
      <w:r>
        <w:rPr>
          <w:rFonts w:ascii="仿宋" w:hAnsi="仿宋" w:eastAsia="仿宋" w:cs="微软雅黑"/>
          <w:sz w:val="32"/>
          <w:szCs w:val="32"/>
        </w:rPr>
        <w:t>务师事务所、</w:t>
      </w:r>
      <w:r>
        <w:rPr>
          <w:rFonts w:hint="eastAsia" w:ascii="仿宋" w:hAnsi="仿宋" w:eastAsia="仿宋" w:cs="微软雅黑"/>
          <w:sz w:val="32"/>
          <w:szCs w:val="32"/>
        </w:rPr>
        <w:t>青海中瑞月华税务师事务所等</w:t>
      </w:r>
      <w:r>
        <w:rPr>
          <w:rFonts w:ascii="仿宋" w:hAnsi="仿宋" w:eastAsia="仿宋" w:cs="微软雅黑"/>
          <w:sz w:val="32"/>
          <w:szCs w:val="32"/>
        </w:rPr>
        <w:t>2</w:t>
      </w:r>
      <w:r>
        <w:rPr>
          <w:rFonts w:hint="eastAsia" w:ascii="仿宋" w:hAnsi="仿宋" w:eastAsia="仿宋" w:cs="微软雅黑"/>
          <w:sz w:val="32"/>
          <w:szCs w:val="32"/>
        </w:rPr>
        <w:t>家税务师事务所为二级、三级破产管理人。</w:t>
      </w:r>
    </w:p>
    <w:p w14:paraId="409543CB">
      <w:pPr>
        <w:pStyle w:val="28"/>
        <w:spacing w:before="0" w:beforeAutospacing="0" w:after="0" w:afterAutospacing="0"/>
        <w:ind w:firstLine="643" w:firstLineChars="200"/>
        <w:jc w:val="both"/>
        <w:rPr>
          <w:rFonts w:ascii="楷体" w:hAnsi="楷体" w:eastAsia="楷体" w:cs="微软雅黑"/>
          <w:b/>
          <w:sz w:val="32"/>
          <w:szCs w:val="32"/>
        </w:rPr>
      </w:pPr>
      <w:r>
        <w:rPr>
          <w:rFonts w:hint="eastAsia" w:ascii="楷体" w:hAnsi="楷体" w:eastAsia="楷体" w:cs="微软雅黑"/>
          <w:b/>
          <w:sz w:val="32"/>
          <w:szCs w:val="32"/>
        </w:rPr>
        <w:t>（五）受申请人委托，查阅公司会计账簿、会计凭证</w:t>
      </w:r>
    </w:p>
    <w:p w14:paraId="4088B387">
      <w:pPr>
        <w:widowControl/>
        <w:shd w:val="clear" w:color="auto" w:fill="FFFFFF"/>
        <w:ind w:firstLine="643" w:firstLineChars="200"/>
        <w:rPr>
          <w:rFonts w:ascii="仿宋" w:hAnsi="仿宋" w:eastAsia="仿宋" w:cs="Helvetica"/>
          <w:kern w:val="0"/>
          <w:sz w:val="32"/>
          <w:szCs w:val="32"/>
        </w:rPr>
      </w:pPr>
      <w:r>
        <w:rPr>
          <w:rFonts w:hint="eastAsia" w:ascii="仿宋" w:hAnsi="仿宋" w:eastAsia="仿宋" w:cs="Helvetica"/>
          <w:b/>
          <w:bCs/>
          <w:kern w:val="0"/>
          <w:sz w:val="32"/>
          <w:szCs w:val="32"/>
        </w:rPr>
        <w:t>法律依据：</w:t>
      </w:r>
      <w:r>
        <w:rPr>
          <w:rFonts w:hint="eastAsia" w:ascii="仿宋" w:hAnsi="仿宋" w:eastAsia="仿宋" w:cs="Helvetica"/>
          <w:kern w:val="0"/>
          <w:sz w:val="32"/>
          <w:szCs w:val="32"/>
        </w:rPr>
        <w:t>《中华人民共和国公司法（2023修订）》（中华人民共和国主席令第15号）</w:t>
      </w:r>
    </w:p>
    <w:p w14:paraId="60C6F0D5">
      <w:pPr>
        <w:widowControl/>
        <w:shd w:val="clear" w:color="auto" w:fill="FFFFFF"/>
        <w:ind w:firstLine="643" w:firstLineChars="200"/>
        <w:rPr>
          <w:rFonts w:ascii="仿宋" w:hAnsi="仿宋" w:eastAsia="仿宋" w:cs="Helvetica"/>
          <w:kern w:val="0"/>
          <w:sz w:val="32"/>
          <w:szCs w:val="32"/>
        </w:rPr>
      </w:pPr>
      <w:r>
        <w:rPr>
          <w:rFonts w:hint="eastAsia" w:ascii="仿宋" w:hAnsi="仿宋" w:eastAsia="仿宋" w:cs="Helvetica"/>
          <w:b/>
          <w:bCs/>
          <w:kern w:val="0"/>
          <w:sz w:val="32"/>
          <w:szCs w:val="32"/>
        </w:rPr>
        <w:t>具体内容：</w:t>
      </w:r>
      <w:r>
        <w:rPr>
          <w:rFonts w:hint="eastAsia" w:ascii="仿宋" w:hAnsi="仿宋" w:eastAsia="仿宋" w:cs="Helvetica"/>
          <w:kern w:val="0"/>
          <w:sz w:val="32"/>
          <w:szCs w:val="32"/>
        </w:rPr>
        <w:t>股东有权查阅、复制公司章程、股东名册、股东会会议记录、董事会会议决议、监事会会议决议和财务会计报告。</w:t>
      </w:r>
    </w:p>
    <w:p w14:paraId="398F7084">
      <w:pPr>
        <w:widowControl/>
        <w:shd w:val="clear" w:color="auto" w:fill="FFFFFF"/>
        <w:ind w:firstLine="640" w:firstLineChars="200"/>
        <w:rPr>
          <w:rFonts w:ascii="仿宋" w:hAnsi="仿宋" w:eastAsia="仿宋" w:cs="Helvetica"/>
          <w:kern w:val="0"/>
          <w:sz w:val="32"/>
          <w:szCs w:val="32"/>
        </w:rPr>
      </w:pPr>
      <w:r>
        <w:rPr>
          <w:rFonts w:hint="eastAsia" w:ascii="仿宋" w:hAnsi="仿宋" w:eastAsia="仿宋" w:cs="Helvetica"/>
          <w:kern w:val="0"/>
          <w:sz w:val="32"/>
          <w:szCs w:val="32"/>
        </w:rPr>
        <w:t>股东查阅前款规定的材料，可以委托会计师事务所、律师事务所</w:t>
      </w:r>
      <w:r>
        <w:rPr>
          <w:rFonts w:hint="eastAsia" w:ascii="仿宋" w:hAnsi="仿宋" w:eastAsia="仿宋" w:cs="Helvetica"/>
          <w:b/>
          <w:bCs/>
          <w:kern w:val="0"/>
          <w:sz w:val="32"/>
          <w:szCs w:val="32"/>
        </w:rPr>
        <w:t>等中介机构</w:t>
      </w:r>
      <w:r>
        <w:rPr>
          <w:rFonts w:hint="eastAsia" w:ascii="仿宋" w:hAnsi="仿宋" w:eastAsia="仿宋" w:cs="Helvetica"/>
          <w:kern w:val="0"/>
          <w:sz w:val="32"/>
          <w:szCs w:val="32"/>
        </w:rPr>
        <w:t>进行。</w:t>
      </w:r>
    </w:p>
    <w:p w14:paraId="09AF4E6C">
      <w:pPr>
        <w:widowControl/>
        <w:shd w:val="clear" w:color="auto" w:fill="FFFFFF"/>
        <w:ind w:firstLine="640" w:firstLineChars="200"/>
        <w:rPr>
          <w:rFonts w:ascii="仿宋" w:hAnsi="仿宋" w:eastAsia="仿宋" w:cs="Helvetica"/>
          <w:kern w:val="0"/>
          <w:sz w:val="32"/>
          <w:szCs w:val="32"/>
        </w:rPr>
      </w:pPr>
      <w:r>
        <w:rPr>
          <w:rFonts w:hint="eastAsia" w:ascii="仿宋" w:hAnsi="仿宋" w:eastAsia="仿宋" w:cs="Helvetica"/>
          <w:kern w:val="0"/>
          <w:sz w:val="32"/>
          <w:szCs w:val="32"/>
        </w:rPr>
        <w:t>股东及其委托的会计师事务所、律师事务所等中介机构查阅、复制有关材料，应当遵守有关保护国家秘密、商业秘密、个人隐私、个人信息等法律、行政法规的规定。[第五十七条]</w:t>
      </w:r>
    </w:p>
    <w:p w14:paraId="608C0A93">
      <w:pPr>
        <w:widowControl/>
        <w:shd w:val="clear" w:color="auto" w:fill="FFFFFF"/>
        <w:ind w:firstLine="643" w:firstLineChars="200"/>
        <w:jc w:val="left"/>
        <w:rPr>
          <w:rFonts w:ascii="仿宋" w:hAnsi="仿宋" w:eastAsia="仿宋" w:cs="Helvetica"/>
          <w:kern w:val="0"/>
          <w:sz w:val="32"/>
          <w:szCs w:val="32"/>
        </w:rPr>
      </w:pPr>
      <w:r>
        <w:rPr>
          <w:rFonts w:hint="eastAsia" w:ascii="仿宋" w:hAnsi="仿宋" w:eastAsia="仿宋" w:cs="Helvetica"/>
          <w:b/>
          <w:kern w:val="0"/>
          <w:sz w:val="32"/>
          <w:szCs w:val="32"/>
        </w:rPr>
        <w:t>业务拓展建议：</w:t>
      </w:r>
      <w:r>
        <w:rPr>
          <w:rFonts w:hint="eastAsia" w:ascii="仿宋" w:hAnsi="仿宋" w:eastAsia="仿宋" w:cs="Helvetica"/>
          <w:kern w:val="0"/>
          <w:sz w:val="32"/>
          <w:szCs w:val="32"/>
        </w:rPr>
        <w:t>为高净值群体提供个性化涉税专业服务</w:t>
      </w:r>
      <w:r>
        <w:rPr>
          <w:rFonts w:ascii="仿宋" w:hAnsi="仿宋" w:eastAsia="仿宋" w:cs="Helvetica"/>
          <w:kern w:val="0"/>
          <w:sz w:val="32"/>
          <w:szCs w:val="32"/>
        </w:rPr>
        <w:t>。</w:t>
      </w:r>
    </w:p>
    <w:p w14:paraId="082E6F73">
      <w:pPr>
        <w:pStyle w:val="28"/>
        <w:spacing w:before="0" w:beforeAutospacing="0" w:after="0" w:afterAutospacing="0"/>
        <w:ind w:firstLine="643" w:firstLineChars="200"/>
        <w:jc w:val="both"/>
        <w:rPr>
          <w:rFonts w:ascii="楷体" w:hAnsi="楷体" w:eastAsia="楷体" w:cs="微软雅黑"/>
          <w:b/>
          <w:sz w:val="32"/>
          <w:szCs w:val="32"/>
        </w:rPr>
      </w:pPr>
      <w:r>
        <w:rPr>
          <w:rFonts w:hint="eastAsia" w:ascii="楷体" w:hAnsi="楷体" w:eastAsia="楷体" w:cs="微软雅黑"/>
          <w:b/>
          <w:sz w:val="32"/>
          <w:szCs w:val="32"/>
        </w:rPr>
        <w:t>（六）服务循环经济发展，当好企业税务顾问</w:t>
      </w:r>
    </w:p>
    <w:p w14:paraId="7A897995">
      <w:pPr>
        <w:widowControl/>
        <w:shd w:val="clear" w:color="auto" w:fill="FFFFFF"/>
        <w:ind w:firstLine="643" w:firstLineChars="200"/>
        <w:rPr>
          <w:rFonts w:ascii="仿宋" w:hAnsi="仿宋" w:eastAsia="仿宋" w:cs="Helvetica"/>
          <w:kern w:val="0"/>
          <w:sz w:val="32"/>
          <w:szCs w:val="32"/>
        </w:rPr>
      </w:pPr>
      <w:r>
        <w:rPr>
          <w:rFonts w:hint="eastAsia" w:ascii="仿宋" w:hAnsi="仿宋" w:eastAsia="仿宋" w:cs="Helvetica"/>
          <w:b/>
          <w:bCs/>
          <w:kern w:val="0"/>
          <w:sz w:val="32"/>
          <w:szCs w:val="32"/>
        </w:rPr>
        <w:t>法律依据：</w:t>
      </w:r>
      <w:r>
        <w:rPr>
          <w:rFonts w:hint="eastAsia" w:ascii="仿宋" w:hAnsi="仿宋" w:eastAsia="仿宋" w:cs="Helvetica"/>
          <w:kern w:val="0"/>
          <w:sz w:val="32"/>
          <w:szCs w:val="32"/>
        </w:rPr>
        <w:t>《中华人民共和国循环经济促进法(2018修正)》（中华人民共和国主席令第16号）</w:t>
      </w:r>
    </w:p>
    <w:p w14:paraId="55244476">
      <w:pPr>
        <w:widowControl/>
        <w:shd w:val="clear" w:color="auto" w:fill="FFFFFF"/>
        <w:ind w:firstLine="643" w:firstLineChars="200"/>
        <w:rPr>
          <w:rFonts w:ascii="仿宋" w:hAnsi="仿宋" w:eastAsia="仿宋" w:cs="Helvetica"/>
          <w:kern w:val="0"/>
          <w:sz w:val="32"/>
          <w:szCs w:val="32"/>
        </w:rPr>
      </w:pPr>
      <w:r>
        <w:rPr>
          <w:rFonts w:hint="eastAsia" w:ascii="仿宋" w:hAnsi="仿宋" w:eastAsia="仿宋" w:cs="Helvetica"/>
          <w:b/>
          <w:bCs/>
          <w:kern w:val="0"/>
          <w:sz w:val="32"/>
          <w:szCs w:val="32"/>
        </w:rPr>
        <w:t>具体内容：</w:t>
      </w:r>
      <w:r>
        <w:rPr>
          <w:rFonts w:hint="eastAsia" w:ascii="仿宋" w:hAnsi="仿宋" w:eastAsia="仿宋" w:cs="Helvetica"/>
          <w:kern w:val="0"/>
          <w:sz w:val="32"/>
          <w:szCs w:val="32"/>
        </w:rPr>
        <w:t>国家鼓励和支持</w:t>
      </w:r>
      <w:r>
        <w:rPr>
          <w:rFonts w:hint="eastAsia" w:ascii="仿宋" w:hAnsi="仿宋" w:eastAsia="仿宋" w:cs="Helvetica"/>
          <w:b/>
          <w:bCs/>
          <w:kern w:val="0"/>
          <w:sz w:val="32"/>
          <w:szCs w:val="32"/>
        </w:rPr>
        <w:t>中介机构</w:t>
      </w:r>
      <w:r>
        <w:rPr>
          <w:rFonts w:hint="eastAsia" w:ascii="仿宋" w:hAnsi="仿宋" w:eastAsia="仿宋" w:cs="Helvetica"/>
          <w:kern w:val="0"/>
          <w:sz w:val="32"/>
          <w:szCs w:val="32"/>
        </w:rPr>
        <w:t>、学会和其他社会组织开展循环经济宣传、技术推广和咨询服务，促进循环经济发展。[第十一条]</w:t>
      </w:r>
    </w:p>
    <w:p w14:paraId="51959FEF">
      <w:pPr>
        <w:pStyle w:val="28"/>
        <w:spacing w:before="0" w:beforeAutospacing="0" w:after="0" w:afterAutospacing="0"/>
        <w:ind w:firstLine="643" w:firstLineChars="200"/>
        <w:jc w:val="both"/>
        <w:rPr>
          <w:rFonts w:ascii="仿宋" w:hAnsi="仿宋" w:eastAsia="仿宋" w:cs="Helvetica"/>
          <w:sz w:val="32"/>
          <w:szCs w:val="32"/>
        </w:rPr>
      </w:pPr>
      <w:r>
        <w:rPr>
          <w:rFonts w:ascii="仿宋" w:hAnsi="仿宋" w:eastAsia="仿宋" w:cs="微软雅黑"/>
          <w:b/>
          <w:sz w:val="32"/>
          <w:szCs w:val="32"/>
        </w:rPr>
        <w:t>业务拓展建议：</w:t>
      </w:r>
      <w:r>
        <w:rPr>
          <w:rFonts w:ascii="仿宋" w:hAnsi="仿宋" w:eastAsia="仿宋" w:cs="Helvetica"/>
          <w:sz w:val="32"/>
          <w:szCs w:val="32"/>
        </w:rPr>
        <w:t>为企业循环经济</w:t>
      </w:r>
      <w:r>
        <w:rPr>
          <w:rFonts w:hint="eastAsia" w:ascii="仿宋" w:hAnsi="仿宋" w:eastAsia="仿宋" w:cs="Helvetica"/>
          <w:sz w:val="32"/>
          <w:szCs w:val="32"/>
        </w:rPr>
        <w:t>技术创新、项目实施提供涉</w:t>
      </w:r>
      <w:r>
        <w:rPr>
          <w:rFonts w:ascii="仿宋" w:hAnsi="仿宋" w:eastAsia="仿宋" w:cs="Helvetica"/>
          <w:sz w:val="32"/>
          <w:szCs w:val="32"/>
        </w:rPr>
        <w:t>税专业</w:t>
      </w:r>
      <w:r>
        <w:rPr>
          <w:rFonts w:hint="eastAsia" w:ascii="仿宋" w:hAnsi="仿宋" w:eastAsia="仿宋" w:cs="Helvetica"/>
          <w:sz w:val="32"/>
          <w:szCs w:val="32"/>
        </w:rPr>
        <w:t>服务。</w:t>
      </w:r>
    </w:p>
    <w:p w14:paraId="672750C2">
      <w:pPr>
        <w:pStyle w:val="28"/>
        <w:spacing w:before="0" w:beforeAutospacing="0" w:after="0" w:afterAutospacing="0"/>
        <w:ind w:firstLine="640" w:firstLineChars="200"/>
        <w:rPr>
          <w:rFonts w:ascii="黑体" w:hAnsi="黑体" w:eastAsia="黑体"/>
          <w:sz w:val="32"/>
          <w:szCs w:val="32"/>
        </w:rPr>
      </w:pPr>
      <w:r>
        <w:rPr>
          <w:rFonts w:hint="eastAsia" w:ascii="黑体" w:hAnsi="黑体" w:eastAsia="黑体"/>
          <w:sz w:val="32"/>
          <w:szCs w:val="32"/>
        </w:rPr>
        <w:t>二、依据部门规章可拓展的业务领域</w:t>
      </w:r>
    </w:p>
    <w:p w14:paraId="0335DD6B">
      <w:pPr>
        <w:ind w:firstLine="643" w:firstLineChars="200"/>
        <w:rPr>
          <w:rFonts w:ascii="楷体" w:hAnsi="楷体" w:eastAsia="楷体" w:cs="微软雅黑"/>
          <w:b/>
          <w:kern w:val="0"/>
          <w:sz w:val="32"/>
          <w:szCs w:val="32"/>
        </w:rPr>
      </w:pPr>
      <w:r>
        <w:rPr>
          <w:rFonts w:hint="eastAsia" w:ascii="楷体" w:hAnsi="楷体" w:eastAsia="楷体" w:cs="微软雅黑"/>
          <w:b/>
          <w:kern w:val="0"/>
          <w:sz w:val="32"/>
          <w:szCs w:val="32"/>
        </w:rPr>
        <w:t>（一）受银行业金融机构委托，提供税务专业服务</w:t>
      </w:r>
    </w:p>
    <w:p w14:paraId="3521A82B">
      <w:pPr>
        <w:widowControl/>
        <w:shd w:val="clear" w:color="auto" w:fill="FFFFFF"/>
        <w:ind w:firstLine="643" w:firstLineChars="200"/>
        <w:rPr>
          <w:rFonts w:ascii="仿宋" w:hAnsi="仿宋" w:eastAsia="仿宋" w:cs="Helvetica"/>
          <w:kern w:val="0"/>
          <w:sz w:val="32"/>
          <w:szCs w:val="32"/>
        </w:rPr>
      </w:pPr>
      <w:r>
        <w:rPr>
          <w:rFonts w:hint="eastAsia" w:ascii="仿宋" w:hAnsi="仿宋" w:eastAsia="仿宋" w:cs="Helvetica"/>
          <w:b/>
          <w:bCs/>
          <w:kern w:val="0"/>
          <w:sz w:val="32"/>
          <w:szCs w:val="32"/>
        </w:rPr>
        <w:t>规章依据：</w:t>
      </w:r>
      <w:r>
        <w:rPr>
          <w:rFonts w:hint="eastAsia" w:ascii="仿宋" w:hAnsi="仿宋" w:eastAsia="仿宋" w:cs="Helvetica"/>
          <w:kern w:val="0"/>
          <w:sz w:val="32"/>
          <w:szCs w:val="32"/>
        </w:rPr>
        <w:t>《固定资产贷款管理办法》（国家金融监督管理总局令2024年第1号）</w:t>
      </w:r>
    </w:p>
    <w:p w14:paraId="394C9F3D">
      <w:pPr>
        <w:widowControl/>
        <w:shd w:val="clear" w:color="auto" w:fill="FFFFFF"/>
        <w:ind w:firstLine="643" w:firstLineChars="200"/>
        <w:rPr>
          <w:rFonts w:ascii="仿宋" w:hAnsi="仿宋" w:eastAsia="仿宋" w:cs="Helvetica"/>
          <w:kern w:val="0"/>
          <w:sz w:val="32"/>
          <w:szCs w:val="32"/>
        </w:rPr>
      </w:pPr>
      <w:r>
        <w:rPr>
          <w:rFonts w:hint="eastAsia" w:ascii="仿宋" w:hAnsi="仿宋" w:eastAsia="仿宋" w:cs="Helvetica"/>
          <w:b/>
          <w:bCs/>
          <w:kern w:val="0"/>
          <w:sz w:val="32"/>
          <w:szCs w:val="32"/>
        </w:rPr>
        <w:t>具体内容：</w:t>
      </w:r>
      <w:r>
        <w:rPr>
          <w:rFonts w:hint="eastAsia" w:ascii="仿宋" w:hAnsi="仿宋" w:eastAsia="仿宋" w:cs="Helvetica"/>
          <w:kern w:val="0"/>
          <w:sz w:val="32"/>
          <w:szCs w:val="32"/>
        </w:rPr>
        <w:t>贷款人从事项目融资业务，应当具备对所从事项目的风险识别和管理能力，配备业务开展所需要的专业人员，建立完善的操作流程和风险管理机制。贷款人可以根据需要，委托或者要求借款人委托具备相关资质的</w:t>
      </w:r>
      <w:r>
        <w:rPr>
          <w:rFonts w:hint="eastAsia" w:ascii="仿宋" w:hAnsi="仿宋" w:eastAsia="仿宋" w:cs="Helvetica"/>
          <w:b/>
          <w:bCs/>
          <w:kern w:val="0"/>
          <w:sz w:val="32"/>
          <w:szCs w:val="32"/>
        </w:rPr>
        <w:t>独立中介机构</w:t>
      </w:r>
      <w:r>
        <w:rPr>
          <w:rFonts w:hint="eastAsia" w:ascii="仿宋" w:hAnsi="仿宋" w:eastAsia="仿宋" w:cs="Helvetica"/>
          <w:kern w:val="0"/>
          <w:sz w:val="32"/>
          <w:szCs w:val="32"/>
        </w:rPr>
        <w:t>为项目提供法律、税务、保险、技术、环保和监理等方面的专业意见或服务。[第四十五条]</w:t>
      </w:r>
    </w:p>
    <w:p w14:paraId="06503F29">
      <w:pPr>
        <w:widowControl/>
        <w:shd w:val="clear" w:color="auto" w:fill="FFFFFF"/>
        <w:ind w:firstLine="643" w:firstLineChars="200"/>
        <w:rPr>
          <w:rFonts w:ascii="仿宋" w:hAnsi="仿宋" w:eastAsia="仿宋" w:cs="Helvetica"/>
          <w:kern w:val="0"/>
          <w:sz w:val="32"/>
          <w:szCs w:val="32"/>
        </w:rPr>
      </w:pPr>
      <w:r>
        <w:rPr>
          <w:rFonts w:hint="eastAsia" w:ascii="仿宋" w:hAnsi="仿宋" w:eastAsia="仿宋" w:cs="Helvetica"/>
          <w:b/>
          <w:kern w:val="0"/>
          <w:sz w:val="32"/>
          <w:szCs w:val="32"/>
        </w:rPr>
        <w:t>业务拓展建议：</w:t>
      </w:r>
      <w:r>
        <w:rPr>
          <w:rFonts w:hint="eastAsia" w:ascii="仿宋" w:hAnsi="仿宋" w:eastAsia="仿宋" w:cs="Helvetica"/>
          <w:kern w:val="0"/>
          <w:sz w:val="32"/>
          <w:szCs w:val="32"/>
        </w:rPr>
        <w:t>为贷款人从事项目融资业务提供</w:t>
      </w:r>
      <w:r>
        <w:rPr>
          <w:rFonts w:ascii="仿宋" w:hAnsi="仿宋" w:eastAsia="仿宋" w:cs="Helvetica"/>
          <w:kern w:val="0"/>
          <w:sz w:val="32"/>
          <w:szCs w:val="32"/>
        </w:rPr>
        <w:t>专业税务咨询服务，</w:t>
      </w:r>
      <w:r>
        <w:rPr>
          <w:rFonts w:hint="eastAsia" w:ascii="仿宋" w:hAnsi="仿宋" w:eastAsia="仿宋" w:cs="Helvetica"/>
          <w:kern w:val="0"/>
          <w:sz w:val="32"/>
          <w:szCs w:val="32"/>
        </w:rPr>
        <w:t>协助进行税务风险评估与管理</w:t>
      </w:r>
      <w:r>
        <w:rPr>
          <w:rFonts w:ascii="仿宋" w:hAnsi="仿宋" w:eastAsia="仿宋" w:cs="Helvetica"/>
          <w:kern w:val="0"/>
          <w:sz w:val="32"/>
          <w:szCs w:val="32"/>
        </w:rPr>
        <w:t>。</w:t>
      </w:r>
    </w:p>
    <w:p w14:paraId="33175F9E">
      <w:pPr>
        <w:ind w:firstLine="643" w:firstLineChars="200"/>
        <w:rPr>
          <w:rFonts w:ascii="楷体" w:hAnsi="楷体" w:eastAsia="楷体" w:cs="微软雅黑"/>
          <w:b/>
          <w:kern w:val="0"/>
          <w:sz w:val="32"/>
          <w:szCs w:val="32"/>
        </w:rPr>
      </w:pPr>
      <w:r>
        <w:rPr>
          <w:rFonts w:hint="eastAsia" w:ascii="楷体" w:hAnsi="楷体" w:eastAsia="楷体" w:cs="微软雅黑"/>
          <w:b/>
          <w:kern w:val="0"/>
          <w:sz w:val="32"/>
          <w:szCs w:val="32"/>
        </w:rPr>
        <w:t>（二）受金融控股公司委托，出具专业报告</w:t>
      </w:r>
    </w:p>
    <w:p w14:paraId="0557AB39">
      <w:pPr>
        <w:pStyle w:val="28"/>
        <w:spacing w:before="0" w:beforeAutospacing="0" w:after="0" w:afterAutospacing="0"/>
        <w:ind w:firstLine="643" w:firstLineChars="200"/>
        <w:jc w:val="both"/>
        <w:rPr>
          <w:rFonts w:ascii="仿宋" w:hAnsi="仿宋" w:eastAsia="仿宋" w:cs="Helvetica"/>
          <w:sz w:val="32"/>
          <w:szCs w:val="32"/>
        </w:rPr>
      </w:pPr>
      <w:r>
        <w:rPr>
          <w:rFonts w:hint="eastAsia" w:ascii="仿宋" w:hAnsi="仿宋" w:eastAsia="仿宋"/>
          <w:b/>
          <w:sz w:val="32"/>
          <w:szCs w:val="32"/>
        </w:rPr>
        <w:t>规章依据：</w:t>
      </w:r>
      <w:r>
        <w:rPr>
          <w:rFonts w:hint="eastAsia" w:ascii="仿宋" w:hAnsi="仿宋" w:eastAsia="仿宋" w:cs="Helvetica"/>
          <w:sz w:val="32"/>
          <w:szCs w:val="32"/>
        </w:rPr>
        <w:t>《金融控股公司关联交易管理办法》（中国人民银行令〔2023〕第1号）</w:t>
      </w:r>
    </w:p>
    <w:p w14:paraId="68E4D096">
      <w:pPr>
        <w:widowControl/>
        <w:shd w:val="clear" w:color="auto" w:fill="FFFFFF"/>
        <w:ind w:firstLine="643" w:firstLineChars="200"/>
        <w:jc w:val="left"/>
        <w:rPr>
          <w:rFonts w:ascii="仿宋" w:hAnsi="仿宋" w:eastAsia="仿宋" w:cs="Helvetica"/>
          <w:kern w:val="0"/>
          <w:sz w:val="32"/>
          <w:szCs w:val="32"/>
        </w:rPr>
      </w:pPr>
      <w:r>
        <w:rPr>
          <w:rFonts w:hint="eastAsia" w:ascii="仿宋" w:hAnsi="仿宋" w:eastAsia="仿宋" w:cs="Helvetica"/>
          <w:b/>
          <w:kern w:val="0"/>
          <w:sz w:val="32"/>
          <w:szCs w:val="32"/>
        </w:rPr>
        <w:t>具体内容：</w:t>
      </w:r>
      <w:r>
        <w:rPr>
          <w:rFonts w:hint="eastAsia" w:ascii="仿宋" w:hAnsi="仿宋" w:eastAsia="仿宋" w:cs="Helvetica"/>
          <w:kern w:val="0"/>
          <w:sz w:val="32"/>
          <w:szCs w:val="32"/>
        </w:rPr>
        <w:t>交易协议，交易涉及的有关法律文件和审批文件，以及</w:t>
      </w:r>
      <w:r>
        <w:rPr>
          <w:rFonts w:hint="eastAsia" w:ascii="仿宋" w:hAnsi="仿宋" w:eastAsia="仿宋" w:cs="Helvetica"/>
          <w:b/>
          <w:kern w:val="0"/>
          <w:sz w:val="32"/>
          <w:szCs w:val="32"/>
        </w:rPr>
        <w:t>中介服务机构</w:t>
      </w:r>
      <w:r>
        <w:rPr>
          <w:rFonts w:hint="eastAsia" w:ascii="仿宋" w:hAnsi="仿宋" w:eastAsia="仿宋" w:cs="Helvetica"/>
          <w:kern w:val="0"/>
          <w:sz w:val="32"/>
          <w:szCs w:val="32"/>
        </w:rPr>
        <w:t>出具的专业报告（如有）。[第三十七条第五款]</w:t>
      </w:r>
    </w:p>
    <w:p w14:paraId="44D31805">
      <w:pPr>
        <w:widowControl/>
        <w:shd w:val="clear" w:color="auto" w:fill="FFFFFF"/>
        <w:ind w:firstLine="640" w:firstLineChars="200"/>
        <w:jc w:val="left"/>
        <w:rPr>
          <w:rFonts w:ascii="黑体" w:hAnsi="黑体" w:eastAsia="黑体"/>
          <w:sz w:val="32"/>
          <w:szCs w:val="32"/>
        </w:rPr>
      </w:pPr>
      <w:r>
        <w:rPr>
          <w:rFonts w:hint="eastAsia" w:ascii="仿宋" w:hAnsi="仿宋" w:eastAsia="仿宋" w:cs="Helvetica"/>
          <w:kern w:val="0"/>
          <w:sz w:val="32"/>
          <w:szCs w:val="32"/>
        </w:rPr>
        <w:t>会计师事务所、专业评估机构、律师事务所、</w:t>
      </w:r>
      <w:r>
        <w:rPr>
          <w:rFonts w:hint="eastAsia" w:ascii="仿宋" w:hAnsi="仿宋" w:eastAsia="仿宋" w:cs="Helvetica"/>
          <w:b/>
          <w:kern w:val="0"/>
          <w:sz w:val="32"/>
          <w:szCs w:val="32"/>
        </w:rPr>
        <w:t>税务师事务所</w:t>
      </w:r>
      <w:r>
        <w:rPr>
          <w:rFonts w:hint="eastAsia" w:ascii="仿宋" w:hAnsi="仿宋" w:eastAsia="仿宋" w:cs="Helvetica"/>
          <w:kern w:val="0"/>
          <w:sz w:val="32"/>
          <w:szCs w:val="32"/>
        </w:rPr>
        <w:t>等服务机构违反诚信及勤勉尽责原则，出具文件存在虚假记载、误导性陈述或重大遗漏的，中国人民银行可以将发现的线索、证据移交有关主管部门依法处理。[第四十四条]</w:t>
      </w:r>
    </w:p>
    <w:p w14:paraId="41EA2665">
      <w:pPr>
        <w:pStyle w:val="28"/>
        <w:spacing w:before="0" w:beforeAutospacing="0" w:after="0" w:afterAutospacing="0"/>
        <w:ind w:firstLine="643" w:firstLineChars="200"/>
        <w:jc w:val="both"/>
        <w:rPr>
          <w:rFonts w:ascii="仿宋" w:hAnsi="仿宋" w:eastAsia="仿宋" w:cs="微软雅黑"/>
          <w:sz w:val="32"/>
          <w:szCs w:val="32"/>
        </w:rPr>
      </w:pPr>
      <w:r>
        <w:rPr>
          <w:rFonts w:hint="eastAsia" w:ascii="仿宋" w:hAnsi="仿宋" w:eastAsia="仿宋"/>
          <w:b/>
          <w:sz w:val="32"/>
          <w:szCs w:val="32"/>
        </w:rPr>
        <w:t>业务拓展建议：</w:t>
      </w:r>
      <w:r>
        <w:rPr>
          <w:rFonts w:hint="eastAsia" w:ascii="仿宋" w:hAnsi="仿宋" w:eastAsia="仿宋" w:cs="微软雅黑"/>
          <w:sz w:val="32"/>
          <w:szCs w:val="32"/>
        </w:rPr>
        <w:t>1.受金融控股公司委托，为其开展关联交易提供专业性评估服务。2.在</w:t>
      </w:r>
      <w:r>
        <w:rPr>
          <w:rFonts w:ascii="仿宋" w:hAnsi="仿宋" w:eastAsia="仿宋" w:cs="微软雅黑"/>
          <w:sz w:val="32"/>
          <w:szCs w:val="32"/>
        </w:rPr>
        <w:t>关联交易</w:t>
      </w:r>
      <w:r>
        <w:rPr>
          <w:rFonts w:hint="eastAsia" w:ascii="仿宋" w:hAnsi="仿宋" w:eastAsia="仿宋" w:cs="微软雅黑"/>
          <w:sz w:val="32"/>
          <w:szCs w:val="32"/>
        </w:rPr>
        <w:t>中</w:t>
      </w:r>
      <w:r>
        <w:rPr>
          <w:rFonts w:ascii="仿宋" w:hAnsi="仿宋" w:eastAsia="仿宋" w:cs="微软雅黑"/>
          <w:sz w:val="32"/>
          <w:szCs w:val="32"/>
        </w:rPr>
        <w:t>，</w:t>
      </w:r>
      <w:r>
        <w:rPr>
          <w:rFonts w:hint="eastAsia" w:ascii="仿宋" w:hAnsi="仿宋" w:eastAsia="仿宋" w:cs="微软雅黑"/>
          <w:sz w:val="32"/>
          <w:szCs w:val="32"/>
        </w:rPr>
        <w:t>协助</w:t>
      </w:r>
      <w:r>
        <w:rPr>
          <w:rFonts w:ascii="仿宋" w:hAnsi="仿宋" w:eastAsia="仿宋" w:cs="微软雅黑"/>
          <w:sz w:val="32"/>
          <w:szCs w:val="32"/>
        </w:rPr>
        <w:t>金融控股公司准备</w:t>
      </w:r>
      <w:r>
        <w:rPr>
          <w:rFonts w:hint="eastAsia" w:ascii="仿宋" w:hAnsi="仿宋" w:eastAsia="仿宋" w:cs="微软雅黑"/>
          <w:sz w:val="32"/>
          <w:szCs w:val="32"/>
        </w:rPr>
        <w:t>、</w:t>
      </w:r>
      <w:r>
        <w:rPr>
          <w:rFonts w:ascii="仿宋" w:hAnsi="仿宋" w:eastAsia="仿宋" w:cs="微软雅黑"/>
          <w:sz w:val="32"/>
          <w:szCs w:val="32"/>
        </w:rPr>
        <w:t>审核交易协议、法律文件和审批文件</w:t>
      </w:r>
      <w:r>
        <w:rPr>
          <w:rFonts w:hint="eastAsia" w:ascii="仿宋" w:hAnsi="仿宋" w:eastAsia="仿宋" w:cs="微软雅黑"/>
          <w:sz w:val="32"/>
          <w:szCs w:val="32"/>
        </w:rPr>
        <w:t>。3.帮助</w:t>
      </w:r>
      <w:r>
        <w:rPr>
          <w:rFonts w:ascii="仿宋" w:hAnsi="仿宋" w:eastAsia="仿宋" w:cs="微软雅黑"/>
          <w:sz w:val="32"/>
          <w:szCs w:val="32"/>
        </w:rPr>
        <w:t>金融控股公司识别、评估</w:t>
      </w:r>
      <w:r>
        <w:rPr>
          <w:rFonts w:hint="eastAsia" w:ascii="仿宋" w:hAnsi="仿宋" w:eastAsia="仿宋" w:cs="微软雅黑"/>
          <w:sz w:val="32"/>
          <w:szCs w:val="32"/>
        </w:rPr>
        <w:t>关联交易过程中的税务</w:t>
      </w:r>
      <w:r>
        <w:rPr>
          <w:rFonts w:ascii="仿宋" w:hAnsi="仿宋" w:eastAsia="仿宋" w:cs="微软雅黑"/>
          <w:sz w:val="32"/>
          <w:szCs w:val="32"/>
        </w:rPr>
        <w:t>风险。</w:t>
      </w:r>
      <w:r>
        <w:rPr>
          <w:rFonts w:hint="eastAsia" w:ascii="仿宋" w:hAnsi="仿宋" w:eastAsia="仿宋" w:cs="微软雅黑"/>
          <w:sz w:val="32"/>
          <w:szCs w:val="32"/>
        </w:rPr>
        <w:t xml:space="preserve"> </w:t>
      </w:r>
    </w:p>
    <w:p w14:paraId="43D36E9D">
      <w:pPr>
        <w:pStyle w:val="28"/>
        <w:spacing w:before="0" w:beforeAutospacing="0" w:after="0" w:afterAutospacing="0"/>
        <w:ind w:firstLine="643" w:firstLineChars="200"/>
        <w:jc w:val="both"/>
        <w:rPr>
          <w:rFonts w:ascii="楷体" w:hAnsi="楷体" w:eastAsia="楷体" w:cs="微软雅黑"/>
          <w:b/>
          <w:sz w:val="32"/>
          <w:szCs w:val="32"/>
        </w:rPr>
      </w:pPr>
      <w:r>
        <w:rPr>
          <w:rFonts w:hint="eastAsia" w:ascii="楷体" w:hAnsi="楷体" w:eastAsia="楷体" w:cs="微软雅黑"/>
          <w:b/>
          <w:sz w:val="32"/>
          <w:szCs w:val="32"/>
        </w:rPr>
        <w:t>（三）受保险公司委托，开展涉税鉴证业务</w:t>
      </w:r>
    </w:p>
    <w:p w14:paraId="4CD3B99F">
      <w:pPr>
        <w:pStyle w:val="28"/>
        <w:spacing w:before="0" w:beforeAutospacing="0" w:after="0" w:afterAutospacing="0"/>
        <w:ind w:firstLine="643" w:firstLineChars="200"/>
        <w:jc w:val="both"/>
        <w:rPr>
          <w:rFonts w:ascii="仿宋" w:hAnsi="仿宋" w:eastAsia="仿宋" w:cs="Helvetica"/>
          <w:sz w:val="32"/>
          <w:szCs w:val="32"/>
        </w:rPr>
      </w:pPr>
      <w:r>
        <w:rPr>
          <w:rFonts w:hint="eastAsia" w:ascii="仿宋" w:hAnsi="仿宋" w:eastAsia="仿宋"/>
          <w:b/>
          <w:sz w:val="32"/>
          <w:szCs w:val="32"/>
        </w:rPr>
        <w:t>规章依据：</w:t>
      </w:r>
      <w:r>
        <w:rPr>
          <w:rFonts w:ascii="仿宋" w:hAnsi="仿宋" w:eastAsia="仿宋" w:cs="Helvetica"/>
          <w:sz w:val="32"/>
          <w:szCs w:val="32"/>
        </w:rPr>
        <w:t>《</w:t>
      </w:r>
      <w:r>
        <w:rPr>
          <w:rFonts w:hint="eastAsia" w:ascii="仿宋" w:hAnsi="仿宋" w:eastAsia="仿宋" w:cs="Helvetica"/>
          <w:sz w:val="32"/>
          <w:szCs w:val="32"/>
        </w:rPr>
        <w:t>保险公司非现场监管暂行办法</w:t>
      </w:r>
      <w:r>
        <w:rPr>
          <w:rFonts w:ascii="仿宋" w:hAnsi="仿宋" w:eastAsia="仿宋" w:cs="Helvetica"/>
          <w:sz w:val="32"/>
          <w:szCs w:val="32"/>
        </w:rPr>
        <w:t>》（</w:t>
      </w:r>
      <w:r>
        <w:rPr>
          <w:rFonts w:hint="eastAsia" w:ascii="仿宋" w:hAnsi="仿宋" w:eastAsia="仿宋" w:cs="Helvetica"/>
          <w:sz w:val="32"/>
          <w:szCs w:val="32"/>
        </w:rPr>
        <w:t>中国银行保险监督管理委员会令〔2022〕3号</w:t>
      </w:r>
      <w:r>
        <w:rPr>
          <w:rFonts w:ascii="仿宋" w:hAnsi="仿宋" w:eastAsia="仿宋" w:cs="Helvetica"/>
          <w:sz w:val="32"/>
          <w:szCs w:val="32"/>
        </w:rPr>
        <w:t>）</w:t>
      </w:r>
    </w:p>
    <w:p w14:paraId="6D4EAB8F">
      <w:pPr>
        <w:pStyle w:val="28"/>
        <w:spacing w:before="0" w:beforeAutospacing="0" w:after="0" w:afterAutospacing="0"/>
        <w:ind w:firstLine="643" w:firstLineChars="200"/>
        <w:jc w:val="both"/>
        <w:rPr>
          <w:rFonts w:ascii="仿宋" w:hAnsi="仿宋" w:eastAsia="仿宋" w:cs="微软雅黑"/>
          <w:sz w:val="32"/>
          <w:szCs w:val="32"/>
        </w:rPr>
      </w:pPr>
      <w:r>
        <w:rPr>
          <w:rFonts w:hint="eastAsia" w:ascii="仿宋" w:hAnsi="仿宋" w:eastAsia="仿宋"/>
          <w:b/>
          <w:sz w:val="32"/>
          <w:szCs w:val="32"/>
        </w:rPr>
        <w:t>具体内容：</w:t>
      </w:r>
      <w:r>
        <w:rPr>
          <w:rFonts w:hint="eastAsia" w:ascii="仿宋" w:hAnsi="仿宋" w:eastAsia="仿宋" w:cs="微软雅黑"/>
          <w:sz w:val="32"/>
          <w:szCs w:val="32"/>
        </w:rPr>
        <w:t>监管机构认为必要时可要求保险公司提供经会计师事务所、律师事务所、</w:t>
      </w:r>
      <w:r>
        <w:rPr>
          <w:rFonts w:hint="eastAsia" w:ascii="仿宋" w:hAnsi="仿宋" w:eastAsia="仿宋" w:cs="微软雅黑"/>
          <w:b/>
          <w:sz w:val="32"/>
          <w:szCs w:val="32"/>
        </w:rPr>
        <w:t>税务师事务所</w:t>
      </w:r>
      <w:r>
        <w:rPr>
          <w:rFonts w:hint="eastAsia" w:ascii="仿宋" w:hAnsi="仿宋" w:eastAsia="仿宋" w:cs="微软雅黑"/>
          <w:sz w:val="32"/>
          <w:szCs w:val="32"/>
        </w:rPr>
        <w:t>、精算咨询机构、信用评级机构和资产评估机构等中介服务机构审计或鉴证的相关资料。[第十四条]</w:t>
      </w:r>
    </w:p>
    <w:p w14:paraId="79221066">
      <w:pPr>
        <w:pStyle w:val="28"/>
        <w:spacing w:before="0" w:beforeAutospacing="0" w:after="0" w:afterAutospacing="0"/>
        <w:ind w:firstLine="643" w:firstLineChars="200"/>
        <w:jc w:val="both"/>
        <w:rPr>
          <w:rFonts w:ascii="仿宋" w:hAnsi="仿宋" w:eastAsia="仿宋" w:cs="Helvetica"/>
          <w:sz w:val="32"/>
          <w:szCs w:val="32"/>
        </w:rPr>
      </w:pPr>
      <w:r>
        <w:rPr>
          <w:rFonts w:hint="eastAsia" w:ascii="仿宋" w:hAnsi="仿宋" w:eastAsia="仿宋"/>
          <w:b/>
          <w:sz w:val="32"/>
          <w:szCs w:val="32"/>
        </w:rPr>
        <w:t>业务拓展建议：</w:t>
      </w:r>
      <w:r>
        <w:rPr>
          <w:rFonts w:hint="eastAsia" w:ascii="仿宋" w:hAnsi="仿宋" w:eastAsia="仿宋" w:cs="Helvetica"/>
          <w:sz w:val="32"/>
          <w:szCs w:val="32"/>
        </w:rPr>
        <w:t>1.受保险公司委托，开展涉税鉴证业务，提供鉴证报告。2.提供</w:t>
      </w:r>
      <w:r>
        <w:rPr>
          <w:rFonts w:ascii="仿宋" w:hAnsi="仿宋" w:eastAsia="仿宋" w:cs="Helvetica"/>
          <w:sz w:val="32"/>
          <w:szCs w:val="32"/>
        </w:rPr>
        <w:t>税务咨询服务，</w:t>
      </w:r>
      <w:r>
        <w:rPr>
          <w:rFonts w:hint="eastAsia" w:ascii="仿宋" w:hAnsi="仿宋" w:eastAsia="仿宋" w:cs="Helvetica"/>
          <w:sz w:val="32"/>
          <w:szCs w:val="32"/>
        </w:rPr>
        <w:t>协</w:t>
      </w:r>
      <w:r>
        <w:rPr>
          <w:rFonts w:ascii="仿宋" w:hAnsi="仿宋" w:eastAsia="仿宋" w:cs="Helvetica"/>
          <w:sz w:val="32"/>
          <w:szCs w:val="32"/>
        </w:rPr>
        <w:t>助保险公司解决复杂</w:t>
      </w:r>
      <w:r>
        <w:rPr>
          <w:rFonts w:hint="eastAsia" w:ascii="仿宋" w:hAnsi="仿宋" w:eastAsia="仿宋" w:cs="Helvetica"/>
          <w:sz w:val="32"/>
          <w:szCs w:val="32"/>
        </w:rPr>
        <w:t>涉</w:t>
      </w:r>
      <w:r>
        <w:rPr>
          <w:rFonts w:ascii="仿宋" w:hAnsi="仿宋" w:eastAsia="仿宋" w:cs="Helvetica"/>
          <w:sz w:val="32"/>
          <w:szCs w:val="32"/>
        </w:rPr>
        <w:t>税问题。</w:t>
      </w:r>
    </w:p>
    <w:p w14:paraId="4C08AEF0">
      <w:pPr>
        <w:ind w:firstLine="643" w:firstLineChars="200"/>
        <w:rPr>
          <w:rFonts w:ascii="楷体" w:hAnsi="楷体" w:eastAsia="楷体" w:cs="微软雅黑"/>
          <w:b/>
          <w:kern w:val="0"/>
          <w:sz w:val="32"/>
          <w:szCs w:val="32"/>
        </w:rPr>
      </w:pPr>
      <w:r>
        <w:rPr>
          <w:rFonts w:hint="eastAsia" w:ascii="楷体" w:hAnsi="楷体" w:eastAsia="楷体" w:cs="微软雅黑"/>
          <w:b/>
          <w:kern w:val="0"/>
          <w:sz w:val="32"/>
          <w:szCs w:val="32"/>
        </w:rPr>
        <w:t>（四）受海关或企业委托，出具专业结论</w:t>
      </w:r>
    </w:p>
    <w:p w14:paraId="398179D9">
      <w:pPr>
        <w:pStyle w:val="28"/>
        <w:spacing w:before="0" w:beforeAutospacing="0" w:after="0" w:afterAutospacing="0"/>
        <w:ind w:firstLine="643" w:firstLineChars="200"/>
        <w:jc w:val="both"/>
        <w:rPr>
          <w:rFonts w:ascii="仿宋" w:hAnsi="仿宋" w:eastAsia="仿宋" w:cs="微软雅黑"/>
          <w:sz w:val="32"/>
          <w:szCs w:val="32"/>
        </w:rPr>
      </w:pPr>
      <w:r>
        <w:rPr>
          <w:rFonts w:hint="eastAsia" w:ascii="仿宋" w:hAnsi="仿宋" w:eastAsia="仿宋"/>
          <w:b/>
          <w:sz w:val="32"/>
          <w:szCs w:val="32"/>
        </w:rPr>
        <w:t>规章依据：</w:t>
      </w:r>
      <w:r>
        <w:rPr>
          <w:rFonts w:hint="eastAsia" w:ascii="仿宋" w:hAnsi="仿宋" w:eastAsia="仿宋" w:cs="微软雅黑"/>
          <w:sz w:val="32"/>
          <w:szCs w:val="32"/>
        </w:rPr>
        <w:t>《中华人民共和国海关注册登记和备案企业信用管理办法》</w:t>
      </w:r>
      <w:r>
        <w:rPr>
          <w:rFonts w:hint="eastAsia" w:ascii="仿宋" w:hAnsi="仿宋" w:eastAsia="仿宋"/>
          <w:sz w:val="32"/>
          <w:szCs w:val="32"/>
        </w:rPr>
        <w:t>(2021)</w:t>
      </w:r>
      <w:r>
        <w:rPr>
          <w:rFonts w:hint="eastAsia" w:ascii="仿宋" w:hAnsi="仿宋" w:eastAsia="仿宋" w:cs="微软雅黑"/>
          <w:sz w:val="32"/>
          <w:szCs w:val="32"/>
        </w:rPr>
        <w:t>（</w:t>
      </w:r>
      <w:r>
        <w:rPr>
          <w:rFonts w:ascii="仿宋" w:hAnsi="仿宋" w:eastAsia="仿宋" w:cs="微软雅黑"/>
          <w:sz w:val="32"/>
          <w:szCs w:val="32"/>
        </w:rPr>
        <w:t>中华人民共和国</w:t>
      </w:r>
      <w:r>
        <w:rPr>
          <w:rFonts w:hint="eastAsia" w:ascii="仿宋" w:hAnsi="仿宋" w:eastAsia="仿宋" w:cs="微软雅黑"/>
          <w:sz w:val="32"/>
          <w:szCs w:val="32"/>
        </w:rPr>
        <w:t>海关总署令第251号）</w:t>
      </w:r>
    </w:p>
    <w:p w14:paraId="0ECEB0EA">
      <w:pPr>
        <w:ind w:right="284" w:firstLine="643" w:firstLineChars="200"/>
        <w:rPr>
          <w:rFonts w:ascii="仿宋" w:hAnsi="仿宋" w:eastAsia="仿宋" w:cs="微软雅黑"/>
          <w:kern w:val="0"/>
          <w:sz w:val="32"/>
          <w:szCs w:val="32"/>
        </w:rPr>
      </w:pPr>
      <w:r>
        <w:rPr>
          <w:rFonts w:hint="eastAsia" w:ascii="仿宋" w:hAnsi="仿宋" w:eastAsia="仿宋" w:cs="宋体"/>
          <w:b/>
          <w:kern w:val="0"/>
          <w:sz w:val="32"/>
          <w:szCs w:val="32"/>
        </w:rPr>
        <w:t>具体内容：</w:t>
      </w:r>
      <w:r>
        <w:rPr>
          <w:rFonts w:hint="eastAsia" w:ascii="仿宋" w:hAnsi="仿宋" w:eastAsia="仿宋" w:cs="微软雅黑"/>
          <w:kern w:val="0"/>
          <w:sz w:val="32"/>
          <w:szCs w:val="32"/>
        </w:rPr>
        <w:t>海关可以委托</w:t>
      </w:r>
      <w:r>
        <w:rPr>
          <w:rFonts w:hint="eastAsia" w:ascii="仿宋" w:hAnsi="仿宋" w:eastAsia="仿宋" w:cs="微软雅黑"/>
          <w:b/>
          <w:kern w:val="0"/>
          <w:sz w:val="32"/>
          <w:szCs w:val="32"/>
        </w:rPr>
        <w:t>社会中介机构</w:t>
      </w:r>
      <w:r>
        <w:rPr>
          <w:rFonts w:hint="eastAsia" w:ascii="仿宋" w:hAnsi="仿宋" w:eastAsia="仿宋" w:cs="微软雅黑"/>
          <w:kern w:val="0"/>
          <w:sz w:val="32"/>
          <w:szCs w:val="32"/>
        </w:rPr>
        <w:t>就高级认证企业认证、复核相关问题出具专业结论。</w:t>
      </w:r>
    </w:p>
    <w:p w14:paraId="66EFAAA5">
      <w:pPr>
        <w:ind w:right="284" w:firstLine="640" w:firstLineChars="200"/>
        <w:rPr>
          <w:rFonts w:ascii="仿宋" w:hAnsi="仿宋" w:eastAsia="仿宋" w:cs="微软雅黑"/>
          <w:kern w:val="0"/>
          <w:sz w:val="32"/>
          <w:szCs w:val="32"/>
        </w:rPr>
      </w:pPr>
      <w:r>
        <w:rPr>
          <w:rFonts w:hint="eastAsia" w:ascii="仿宋" w:hAnsi="仿宋" w:eastAsia="仿宋" w:cs="微软雅黑"/>
          <w:kern w:val="0"/>
          <w:sz w:val="32"/>
          <w:szCs w:val="32"/>
        </w:rPr>
        <w:t>企业委托</w:t>
      </w:r>
      <w:r>
        <w:rPr>
          <w:rFonts w:hint="eastAsia" w:ascii="仿宋" w:hAnsi="仿宋" w:eastAsia="仿宋" w:cs="微软雅黑"/>
          <w:b/>
          <w:kern w:val="0"/>
          <w:sz w:val="32"/>
          <w:szCs w:val="32"/>
        </w:rPr>
        <w:t>社会中介机构</w:t>
      </w:r>
      <w:r>
        <w:rPr>
          <w:rFonts w:hint="eastAsia" w:ascii="仿宋" w:hAnsi="仿宋" w:eastAsia="仿宋" w:cs="微软雅黑"/>
          <w:kern w:val="0"/>
          <w:sz w:val="32"/>
          <w:szCs w:val="32"/>
        </w:rPr>
        <w:t>就高级认证企业认证、复核相关问题出具的专业结论，可以作为海关认证、复核的参考依据。[第二十条]</w:t>
      </w:r>
    </w:p>
    <w:p w14:paraId="6BA28AA1">
      <w:pPr>
        <w:pStyle w:val="28"/>
        <w:spacing w:before="0" w:beforeAutospacing="0" w:after="0" w:afterAutospacing="0"/>
        <w:ind w:firstLine="643" w:firstLineChars="200"/>
        <w:jc w:val="both"/>
        <w:rPr>
          <w:rFonts w:ascii="仿宋" w:hAnsi="仿宋" w:eastAsia="仿宋" w:cs="Helvetica"/>
          <w:sz w:val="32"/>
          <w:szCs w:val="32"/>
        </w:rPr>
      </w:pPr>
      <w:r>
        <w:rPr>
          <w:rFonts w:hint="eastAsia" w:ascii="仿宋" w:hAnsi="仿宋" w:eastAsia="仿宋"/>
          <w:b/>
          <w:sz w:val="32"/>
          <w:szCs w:val="32"/>
        </w:rPr>
        <w:t>业务拓展建议：</w:t>
      </w:r>
      <w:r>
        <w:rPr>
          <w:rFonts w:hint="eastAsia" w:ascii="仿宋" w:hAnsi="仿宋" w:eastAsia="仿宋" w:cs="微软雅黑"/>
          <w:sz w:val="32"/>
          <w:szCs w:val="32"/>
        </w:rPr>
        <w:t>1.受海关或企业委托，就高级认证企业认证、复核相关问题出具专业结论。2.为高级认证企业提供纳税审核服务。</w:t>
      </w:r>
    </w:p>
    <w:p w14:paraId="15C96600">
      <w:pPr>
        <w:ind w:firstLine="643" w:firstLineChars="200"/>
        <w:rPr>
          <w:rFonts w:ascii="楷体" w:hAnsi="楷体" w:eastAsia="楷体" w:cs="微软雅黑"/>
          <w:b/>
          <w:kern w:val="0"/>
          <w:sz w:val="32"/>
          <w:szCs w:val="32"/>
        </w:rPr>
      </w:pPr>
      <w:r>
        <w:rPr>
          <w:rFonts w:hint="eastAsia" w:ascii="楷体" w:hAnsi="楷体" w:eastAsia="楷体" w:cs="微软雅黑"/>
          <w:b/>
          <w:kern w:val="0"/>
          <w:sz w:val="32"/>
          <w:szCs w:val="32"/>
        </w:rPr>
        <w:t>（五）受上市公司委托，就国有股权变动提供涉税专业服务</w:t>
      </w:r>
    </w:p>
    <w:p w14:paraId="3009AD11">
      <w:pPr>
        <w:pStyle w:val="28"/>
        <w:spacing w:before="0" w:beforeAutospacing="0" w:after="0" w:afterAutospacing="0"/>
        <w:ind w:firstLine="643" w:firstLineChars="200"/>
        <w:jc w:val="both"/>
        <w:rPr>
          <w:rFonts w:ascii="仿宋" w:hAnsi="仿宋" w:eastAsia="仿宋"/>
          <w:sz w:val="32"/>
          <w:szCs w:val="32"/>
        </w:rPr>
      </w:pPr>
      <w:r>
        <w:rPr>
          <w:rFonts w:hint="eastAsia" w:ascii="仿宋" w:hAnsi="仿宋" w:eastAsia="仿宋"/>
          <w:b/>
          <w:sz w:val="32"/>
          <w:szCs w:val="32"/>
        </w:rPr>
        <w:t>规章依据：</w:t>
      </w:r>
      <w:r>
        <w:rPr>
          <w:rFonts w:hint="eastAsia" w:ascii="仿宋" w:hAnsi="仿宋" w:eastAsia="仿宋"/>
          <w:sz w:val="32"/>
          <w:szCs w:val="32"/>
        </w:rPr>
        <w:t>《上市公司国有股权监督管理办法》(2018)（国务院国有资产监督管理委员会、财政部、中国证券监督管理委员会令第36号）</w:t>
      </w:r>
    </w:p>
    <w:p w14:paraId="313675B6">
      <w:pPr>
        <w:ind w:right="284" w:firstLine="643" w:firstLineChars="200"/>
        <w:rPr>
          <w:rFonts w:ascii="仿宋" w:hAnsi="仿宋" w:eastAsia="仿宋" w:cs="微软雅黑"/>
          <w:kern w:val="0"/>
          <w:sz w:val="32"/>
          <w:szCs w:val="32"/>
        </w:rPr>
      </w:pPr>
      <w:r>
        <w:rPr>
          <w:rFonts w:hint="eastAsia" w:ascii="仿宋" w:hAnsi="仿宋" w:eastAsia="仿宋" w:cs="微软雅黑"/>
          <w:b/>
          <w:kern w:val="0"/>
          <w:sz w:val="32"/>
          <w:szCs w:val="32"/>
        </w:rPr>
        <w:t>具体内容：社会中介机构</w:t>
      </w:r>
      <w:r>
        <w:rPr>
          <w:rFonts w:hint="eastAsia" w:ascii="仿宋" w:hAnsi="仿宋" w:eastAsia="仿宋" w:cs="微软雅黑"/>
          <w:kern w:val="0"/>
          <w:sz w:val="32"/>
          <w:szCs w:val="32"/>
        </w:rPr>
        <w:t>在上市公司国有股权变动的审计、评估、咨询和法律等服务中违规执业的，由国有资产监督管理机构将有关情况通报其行业主管部门，建议给予相应处罚；情节严重的，国有股东三年内不得再委托其开展相关业务。[第七十二条]</w:t>
      </w:r>
    </w:p>
    <w:p w14:paraId="4BBF7365">
      <w:pPr>
        <w:pStyle w:val="28"/>
        <w:spacing w:before="0" w:beforeAutospacing="0" w:after="0" w:afterAutospacing="0"/>
        <w:ind w:firstLine="643" w:firstLineChars="200"/>
        <w:jc w:val="both"/>
        <w:rPr>
          <w:rFonts w:ascii="仿宋" w:hAnsi="仿宋" w:eastAsia="仿宋" w:cs="微软雅黑"/>
          <w:sz w:val="32"/>
          <w:szCs w:val="32"/>
        </w:rPr>
      </w:pPr>
      <w:r>
        <w:rPr>
          <w:rFonts w:hint="eastAsia" w:ascii="仿宋" w:hAnsi="仿宋" w:eastAsia="仿宋" w:cs="微软雅黑"/>
          <w:b/>
          <w:sz w:val="32"/>
          <w:szCs w:val="32"/>
        </w:rPr>
        <w:t>业务拓展建议：</w:t>
      </w:r>
      <w:r>
        <w:rPr>
          <w:rFonts w:hint="eastAsia" w:ascii="仿宋" w:hAnsi="仿宋" w:eastAsia="仿宋" w:cs="微软雅黑"/>
          <w:sz w:val="32"/>
          <w:szCs w:val="32"/>
        </w:rPr>
        <w:t>为上市公司国有股权变动提供纳税</w:t>
      </w:r>
      <w:r>
        <w:rPr>
          <w:rFonts w:ascii="仿宋" w:hAnsi="仿宋" w:eastAsia="仿宋" w:cs="微软雅黑"/>
          <w:sz w:val="32"/>
          <w:szCs w:val="32"/>
        </w:rPr>
        <w:t>审</w:t>
      </w:r>
      <w:r>
        <w:rPr>
          <w:rFonts w:hint="eastAsia" w:ascii="仿宋" w:hAnsi="仿宋" w:eastAsia="仿宋" w:cs="微软雅黑"/>
          <w:sz w:val="32"/>
          <w:szCs w:val="32"/>
        </w:rPr>
        <w:t>核、</w:t>
      </w:r>
      <w:r>
        <w:rPr>
          <w:rFonts w:ascii="仿宋" w:hAnsi="仿宋" w:eastAsia="仿宋" w:cs="微软雅黑"/>
          <w:sz w:val="32"/>
          <w:szCs w:val="32"/>
        </w:rPr>
        <w:t>尽职调查</w:t>
      </w:r>
      <w:r>
        <w:rPr>
          <w:rFonts w:hint="eastAsia" w:ascii="仿宋" w:hAnsi="仿宋" w:eastAsia="仿宋" w:cs="微软雅黑"/>
          <w:sz w:val="32"/>
          <w:szCs w:val="32"/>
        </w:rPr>
        <w:t>服务</w:t>
      </w:r>
      <w:r>
        <w:rPr>
          <w:rFonts w:ascii="仿宋" w:hAnsi="仿宋" w:eastAsia="仿宋" w:cs="微软雅黑"/>
          <w:sz w:val="32"/>
          <w:szCs w:val="32"/>
        </w:rPr>
        <w:t>。</w:t>
      </w:r>
    </w:p>
    <w:p w14:paraId="72499B6A">
      <w:pPr>
        <w:ind w:firstLine="643" w:firstLineChars="200"/>
        <w:rPr>
          <w:rFonts w:ascii="楷体" w:hAnsi="楷体" w:eastAsia="楷体" w:cs="微软雅黑"/>
          <w:b/>
          <w:kern w:val="0"/>
          <w:sz w:val="32"/>
          <w:szCs w:val="32"/>
        </w:rPr>
      </w:pPr>
      <w:r>
        <w:rPr>
          <w:rFonts w:hint="eastAsia" w:ascii="楷体" w:hAnsi="楷体" w:eastAsia="楷体" w:cs="微软雅黑"/>
          <w:b/>
          <w:kern w:val="0"/>
          <w:sz w:val="32"/>
          <w:szCs w:val="32"/>
        </w:rPr>
        <w:t>（六）受央企、国企委托，提供专业税务服务</w:t>
      </w:r>
    </w:p>
    <w:p w14:paraId="74135C19">
      <w:pPr>
        <w:ind w:firstLine="643" w:firstLineChars="200"/>
        <w:rPr>
          <w:rFonts w:ascii="仿宋" w:hAnsi="仿宋" w:eastAsia="仿宋" w:cs="微软雅黑"/>
          <w:kern w:val="0"/>
          <w:sz w:val="32"/>
          <w:szCs w:val="32"/>
        </w:rPr>
      </w:pPr>
      <w:r>
        <w:rPr>
          <w:rFonts w:ascii="仿宋" w:hAnsi="仿宋" w:eastAsia="仿宋" w:cs="微软雅黑"/>
          <w:b/>
          <w:kern w:val="0"/>
          <w:sz w:val="32"/>
          <w:szCs w:val="32"/>
        </w:rPr>
        <w:t>规章依据</w:t>
      </w:r>
      <w:r>
        <w:rPr>
          <w:rFonts w:hint="eastAsia" w:ascii="仿宋" w:hAnsi="仿宋" w:eastAsia="仿宋" w:cs="微软雅黑"/>
          <w:b/>
          <w:kern w:val="0"/>
          <w:sz w:val="32"/>
          <w:szCs w:val="32"/>
        </w:rPr>
        <w:t>1</w:t>
      </w:r>
      <w:r>
        <w:rPr>
          <w:rFonts w:hint="eastAsia" w:ascii="仿宋" w:hAnsi="仿宋" w:eastAsia="仿宋" w:cs="微软雅黑"/>
          <w:kern w:val="0"/>
          <w:sz w:val="32"/>
          <w:szCs w:val="32"/>
        </w:rPr>
        <w:t>：《中央企业违规经营投资责任追究实施办法（试行）》(2018)（</w:t>
      </w:r>
      <w:r>
        <w:rPr>
          <w:rFonts w:hint="eastAsia" w:ascii="仿宋" w:hAnsi="仿宋" w:eastAsia="仿宋" w:cs="Arial"/>
          <w:sz w:val="32"/>
          <w:szCs w:val="32"/>
          <w:shd w:val="clear" w:color="auto" w:fill="FFFFFF"/>
        </w:rPr>
        <w:t>国务院国有资产监督管理委员会令第37号</w:t>
      </w:r>
      <w:r>
        <w:rPr>
          <w:rFonts w:hint="eastAsia" w:ascii="仿宋" w:hAnsi="仿宋" w:eastAsia="仿宋" w:cs="微软雅黑"/>
          <w:kern w:val="0"/>
          <w:sz w:val="32"/>
          <w:szCs w:val="32"/>
        </w:rPr>
        <w:t>）</w:t>
      </w:r>
    </w:p>
    <w:p w14:paraId="351CB498">
      <w:pPr>
        <w:ind w:firstLine="643" w:firstLineChars="200"/>
        <w:rPr>
          <w:rFonts w:ascii="仿宋" w:hAnsi="仿宋" w:eastAsia="仿宋" w:cs="Arial"/>
          <w:sz w:val="32"/>
          <w:szCs w:val="32"/>
          <w:shd w:val="clear" w:color="auto" w:fill="FFFFFF"/>
        </w:rPr>
      </w:pPr>
      <w:r>
        <w:rPr>
          <w:rFonts w:ascii="仿宋" w:hAnsi="仿宋" w:eastAsia="仿宋" w:cs="微软雅黑"/>
          <w:b/>
          <w:kern w:val="0"/>
          <w:sz w:val="32"/>
          <w:szCs w:val="32"/>
        </w:rPr>
        <w:t>具体内容：</w:t>
      </w:r>
      <w:r>
        <w:rPr>
          <w:rFonts w:ascii="仿宋" w:hAnsi="仿宋" w:eastAsia="仿宋" w:cs="Arial"/>
          <w:sz w:val="32"/>
          <w:szCs w:val="32"/>
          <w:shd w:val="clear" w:color="auto" w:fill="FFFFFF"/>
        </w:rPr>
        <w:t>转让产权、上市公司股权、资产等方面的责任追究情形：隐匿应当纳入审计、评估范围的资产，组织提供和披露虚假信息，授意、指使</w:t>
      </w:r>
      <w:r>
        <w:rPr>
          <w:rFonts w:ascii="仿宋" w:hAnsi="仿宋" w:eastAsia="仿宋" w:cs="Arial"/>
          <w:b/>
          <w:sz w:val="32"/>
          <w:szCs w:val="32"/>
          <w:shd w:val="clear" w:color="auto" w:fill="FFFFFF"/>
        </w:rPr>
        <w:t>中介机构</w:t>
      </w:r>
      <w:r>
        <w:rPr>
          <w:rFonts w:ascii="仿宋" w:hAnsi="仿宋" w:eastAsia="仿宋" w:cs="Arial"/>
          <w:sz w:val="32"/>
          <w:szCs w:val="32"/>
          <w:shd w:val="clear" w:color="auto" w:fill="FFFFFF"/>
        </w:rPr>
        <w:t>出具虚假财务审计、资产评估鉴证结果及法律意见书等。</w:t>
      </w:r>
      <w:r>
        <w:rPr>
          <w:rFonts w:hint="eastAsia" w:ascii="仿宋" w:hAnsi="仿宋" w:eastAsia="仿宋" w:cs="Arial"/>
          <w:sz w:val="32"/>
          <w:szCs w:val="32"/>
          <w:shd w:val="clear" w:color="auto" w:fill="FFFFFF"/>
        </w:rPr>
        <w:t>[</w:t>
      </w:r>
      <w:r>
        <w:rPr>
          <w:rFonts w:ascii="仿宋" w:hAnsi="仿宋" w:eastAsia="仿宋" w:cs="Arial"/>
          <w:sz w:val="32"/>
          <w:szCs w:val="32"/>
          <w:shd w:val="clear" w:color="auto" w:fill="FFFFFF"/>
        </w:rPr>
        <w:t>第十二条第三款</w:t>
      </w:r>
      <w:r>
        <w:rPr>
          <w:rFonts w:hint="eastAsia" w:ascii="仿宋" w:hAnsi="仿宋" w:eastAsia="仿宋" w:cs="Arial"/>
          <w:sz w:val="32"/>
          <w:szCs w:val="32"/>
          <w:shd w:val="clear" w:color="auto" w:fill="FFFFFF"/>
        </w:rPr>
        <w:t>]</w:t>
      </w:r>
    </w:p>
    <w:p w14:paraId="1A744C58">
      <w:pPr>
        <w:ind w:firstLine="640" w:firstLineChars="200"/>
        <w:rPr>
          <w:rFonts w:ascii="仿宋" w:hAnsi="仿宋" w:eastAsia="仿宋" w:cs="Arial"/>
          <w:sz w:val="32"/>
          <w:szCs w:val="32"/>
          <w:shd w:val="clear" w:color="auto" w:fill="FFFFFF"/>
        </w:rPr>
      </w:pPr>
      <w:r>
        <w:rPr>
          <w:rFonts w:ascii="仿宋" w:hAnsi="仿宋" w:eastAsia="仿宋" w:cs="Arial"/>
          <w:sz w:val="32"/>
          <w:szCs w:val="32"/>
          <w:shd w:val="clear" w:color="auto" w:fill="FFFFFF"/>
        </w:rPr>
        <w:t>投资并购方面的责任追究情形：投资并购过程中授意、指使</w:t>
      </w:r>
      <w:r>
        <w:rPr>
          <w:rFonts w:ascii="仿宋" w:hAnsi="仿宋" w:eastAsia="仿宋" w:cs="Arial"/>
          <w:b/>
          <w:sz w:val="32"/>
          <w:szCs w:val="32"/>
          <w:shd w:val="clear" w:color="auto" w:fill="FFFFFF"/>
        </w:rPr>
        <w:t>中介机构</w:t>
      </w:r>
      <w:r>
        <w:rPr>
          <w:rFonts w:ascii="仿宋" w:hAnsi="仿宋" w:eastAsia="仿宋" w:cs="Arial"/>
          <w:sz w:val="32"/>
          <w:szCs w:val="32"/>
          <w:shd w:val="clear" w:color="auto" w:fill="FFFFFF"/>
        </w:rPr>
        <w:t>或有关单位出具虚假报告</w:t>
      </w:r>
      <w:r>
        <w:rPr>
          <w:rFonts w:hint="eastAsia" w:ascii="仿宋" w:hAnsi="仿宋" w:eastAsia="仿宋" w:cs="Arial"/>
          <w:sz w:val="32"/>
          <w:szCs w:val="32"/>
          <w:shd w:val="clear" w:color="auto" w:fill="FFFFFF"/>
        </w:rPr>
        <w:t>[</w:t>
      </w:r>
      <w:r>
        <w:rPr>
          <w:rFonts w:ascii="仿宋" w:hAnsi="仿宋" w:eastAsia="仿宋" w:cs="Arial"/>
          <w:sz w:val="32"/>
          <w:szCs w:val="32"/>
          <w:shd w:val="clear" w:color="auto" w:fill="FFFFFF"/>
        </w:rPr>
        <w:t>第十四条第三款</w:t>
      </w:r>
      <w:r>
        <w:rPr>
          <w:rFonts w:hint="eastAsia" w:ascii="仿宋" w:hAnsi="仿宋" w:eastAsia="仿宋" w:cs="Arial"/>
          <w:sz w:val="32"/>
          <w:szCs w:val="32"/>
          <w:shd w:val="clear" w:color="auto" w:fill="FFFFFF"/>
        </w:rPr>
        <w:t>]</w:t>
      </w:r>
    </w:p>
    <w:p w14:paraId="2499A9A3">
      <w:pPr>
        <w:ind w:firstLine="640" w:firstLineChars="200"/>
        <w:rPr>
          <w:rFonts w:ascii="仿宋" w:hAnsi="仿宋" w:eastAsia="仿宋" w:cs="Arial"/>
          <w:sz w:val="32"/>
          <w:szCs w:val="32"/>
          <w:shd w:val="clear" w:color="auto" w:fill="FFFFFF"/>
        </w:rPr>
      </w:pPr>
      <w:r>
        <w:rPr>
          <w:rFonts w:ascii="仿宋" w:hAnsi="仿宋" w:eastAsia="仿宋" w:cs="Arial"/>
          <w:sz w:val="32"/>
          <w:szCs w:val="32"/>
          <w:shd w:val="clear" w:color="auto" w:fill="FFFFFF"/>
        </w:rPr>
        <w:t>改组改制方面的责任追究情形：故意转移、隐匿国有资产或向</w:t>
      </w:r>
      <w:r>
        <w:rPr>
          <w:rFonts w:ascii="仿宋" w:hAnsi="仿宋" w:eastAsia="仿宋" w:cs="Arial"/>
          <w:b/>
          <w:sz w:val="32"/>
          <w:szCs w:val="32"/>
          <w:shd w:val="clear" w:color="auto" w:fill="FFFFFF"/>
        </w:rPr>
        <w:t>中介机构</w:t>
      </w:r>
      <w:r>
        <w:rPr>
          <w:rFonts w:ascii="仿宋" w:hAnsi="仿宋" w:eastAsia="仿宋" w:cs="Arial"/>
          <w:sz w:val="32"/>
          <w:szCs w:val="32"/>
          <w:shd w:val="clear" w:color="auto" w:fill="FFFFFF"/>
        </w:rPr>
        <w:t>提供虚假信息，授意、指使中介机构出具虚假清产核资、财务审计与资产评估等鉴证结果</w:t>
      </w:r>
      <w:r>
        <w:rPr>
          <w:rFonts w:hint="eastAsia" w:ascii="仿宋" w:hAnsi="仿宋" w:eastAsia="仿宋" w:cs="Arial"/>
          <w:sz w:val="32"/>
          <w:szCs w:val="32"/>
          <w:shd w:val="clear" w:color="auto" w:fill="FFFFFF"/>
        </w:rPr>
        <w:t>[</w:t>
      </w:r>
      <w:r>
        <w:rPr>
          <w:rFonts w:ascii="仿宋" w:hAnsi="仿宋" w:eastAsia="仿宋" w:cs="Arial"/>
          <w:sz w:val="32"/>
          <w:szCs w:val="32"/>
          <w:shd w:val="clear" w:color="auto" w:fill="FFFFFF"/>
        </w:rPr>
        <w:t>第十五条第三款</w:t>
      </w:r>
      <w:r>
        <w:rPr>
          <w:rFonts w:hint="eastAsia" w:ascii="仿宋" w:hAnsi="仿宋" w:eastAsia="仿宋" w:cs="Arial"/>
          <w:sz w:val="32"/>
          <w:szCs w:val="32"/>
          <w:shd w:val="clear" w:color="auto" w:fill="FFFFFF"/>
        </w:rPr>
        <w:t>]</w:t>
      </w:r>
    </w:p>
    <w:p w14:paraId="6C870DA0">
      <w:pPr>
        <w:ind w:firstLine="640" w:firstLineChars="200"/>
        <w:rPr>
          <w:rFonts w:ascii="仿宋" w:hAnsi="仿宋" w:eastAsia="仿宋" w:cs="微软雅黑"/>
          <w:kern w:val="0"/>
          <w:sz w:val="32"/>
          <w:szCs w:val="32"/>
        </w:rPr>
      </w:pPr>
      <w:r>
        <w:rPr>
          <w:rFonts w:ascii="仿宋" w:hAnsi="仿宋" w:eastAsia="仿宋" w:cs="Arial"/>
          <w:sz w:val="32"/>
          <w:szCs w:val="32"/>
          <w:shd w:val="clear" w:color="auto" w:fill="FFFFFF"/>
        </w:rPr>
        <w:t>相关违规经营投资虽尚未形成事实资产损失，但确有证据证明资产损失在可预见未来将发生，且能可靠计量资产损失金额的，经</w:t>
      </w:r>
      <w:r>
        <w:rPr>
          <w:rFonts w:ascii="仿宋" w:hAnsi="仿宋" w:eastAsia="仿宋" w:cs="Arial"/>
          <w:b/>
          <w:sz w:val="32"/>
          <w:szCs w:val="32"/>
          <w:shd w:val="clear" w:color="auto" w:fill="FFFFFF"/>
        </w:rPr>
        <w:t>中介机构</w:t>
      </w:r>
      <w:r>
        <w:rPr>
          <w:rFonts w:ascii="仿宋" w:hAnsi="仿宋" w:eastAsia="仿宋" w:cs="Arial"/>
          <w:sz w:val="32"/>
          <w:szCs w:val="32"/>
          <w:shd w:val="clear" w:color="auto" w:fill="FFFFFF"/>
        </w:rPr>
        <w:t>评估可以认定为或有损失，计入资产损失</w:t>
      </w:r>
      <w:r>
        <w:rPr>
          <w:rFonts w:hint="eastAsia" w:ascii="仿宋" w:hAnsi="仿宋" w:eastAsia="仿宋" w:cs="Arial"/>
          <w:sz w:val="32"/>
          <w:szCs w:val="32"/>
          <w:shd w:val="clear" w:color="auto" w:fill="FFFFFF"/>
        </w:rPr>
        <w:t>[</w:t>
      </w:r>
      <w:r>
        <w:rPr>
          <w:rFonts w:ascii="仿宋" w:hAnsi="仿宋" w:eastAsia="仿宋" w:cs="Arial"/>
          <w:sz w:val="32"/>
          <w:szCs w:val="32"/>
          <w:shd w:val="clear" w:color="auto" w:fill="FFFFFF"/>
        </w:rPr>
        <w:t>第二十二条</w:t>
      </w:r>
      <w:r>
        <w:rPr>
          <w:rFonts w:hint="eastAsia" w:ascii="仿宋" w:hAnsi="仿宋" w:eastAsia="仿宋" w:cs="Arial"/>
          <w:sz w:val="32"/>
          <w:szCs w:val="32"/>
          <w:shd w:val="clear" w:color="auto" w:fill="FFFFFF"/>
        </w:rPr>
        <w:t>]</w:t>
      </w:r>
    </w:p>
    <w:p w14:paraId="3D12A7D7">
      <w:pPr>
        <w:ind w:firstLine="643" w:firstLineChars="200"/>
        <w:rPr>
          <w:rFonts w:ascii="仿宋" w:hAnsi="仿宋" w:eastAsia="仿宋" w:cs="微软雅黑"/>
          <w:kern w:val="0"/>
          <w:sz w:val="32"/>
          <w:szCs w:val="32"/>
        </w:rPr>
      </w:pPr>
      <w:r>
        <w:rPr>
          <w:rFonts w:hint="eastAsia" w:ascii="仿宋" w:hAnsi="仿宋" w:eastAsia="仿宋" w:cs="微软雅黑"/>
          <w:b/>
          <w:kern w:val="0"/>
          <w:sz w:val="32"/>
          <w:szCs w:val="32"/>
        </w:rPr>
        <w:t>规范依据2</w:t>
      </w:r>
      <w:r>
        <w:rPr>
          <w:rFonts w:ascii="仿宋" w:hAnsi="仿宋" w:eastAsia="仿宋" w:cs="微软雅黑"/>
          <w:b/>
          <w:kern w:val="0"/>
          <w:sz w:val="32"/>
          <w:szCs w:val="32"/>
        </w:rPr>
        <w:t>：</w:t>
      </w:r>
      <w:r>
        <w:rPr>
          <w:rFonts w:hint="eastAsia" w:ascii="仿宋" w:hAnsi="仿宋" w:eastAsia="仿宋" w:cs="微软雅黑"/>
          <w:kern w:val="0"/>
          <w:sz w:val="32"/>
          <w:szCs w:val="32"/>
        </w:rPr>
        <w:t>国务院国有资产监督管理委员会关于印发《国有企业资产损失认定工作规则》的通知（国资评价〔</w:t>
      </w:r>
      <w:r>
        <w:rPr>
          <w:rFonts w:ascii="仿宋" w:hAnsi="仿宋" w:eastAsia="仿宋" w:cs="微软雅黑"/>
          <w:kern w:val="0"/>
          <w:sz w:val="32"/>
          <w:szCs w:val="32"/>
        </w:rPr>
        <w:t>2003〕72号</w:t>
      </w:r>
      <w:r>
        <w:rPr>
          <w:rFonts w:hint="eastAsia" w:ascii="仿宋" w:hAnsi="仿宋" w:eastAsia="仿宋" w:cs="微软雅黑"/>
          <w:kern w:val="0"/>
          <w:sz w:val="32"/>
          <w:szCs w:val="32"/>
        </w:rPr>
        <w:t>）</w:t>
      </w:r>
    </w:p>
    <w:p w14:paraId="1D99B2C3">
      <w:pPr>
        <w:ind w:firstLine="643" w:firstLineChars="200"/>
        <w:rPr>
          <w:rFonts w:ascii="仿宋" w:hAnsi="仿宋" w:eastAsia="仿宋" w:cs="微软雅黑"/>
          <w:kern w:val="0"/>
          <w:sz w:val="32"/>
          <w:szCs w:val="32"/>
        </w:rPr>
      </w:pPr>
      <w:r>
        <w:rPr>
          <w:rFonts w:hint="eastAsia" w:ascii="仿宋" w:hAnsi="仿宋" w:eastAsia="仿宋" w:cs="微软雅黑"/>
          <w:b/>
          <w:kern w:val="0"/>
          <w:sz w:val="32"/>
          <w:szCs w:val="32"/>
        </w:rPr>
        <w:t>具体内容：</w:t>
      </w:r>
      <w:r>
        <w:rPr>
          <w:rFonts w:hint="eastAsia" w:ascii="仿宋" w:hAnsi="仿宋" w:eastAsia="仿宋" w:cs="微软雅黑"/>
          <w:kern w:val="0"/>
          <w:sz w:val="32"/>
          <w:szCs w:val="32"/>
        </w:rPr>
        <w:t>在清产核资工作中，企业需要申报认定的各项资产损失，均应提供合法证据，包括：具有法律效力的外部证据、</w:t>
      </w:r>
      <w:r>
        <w:rPr>
          <w:rFonts w:hint="eastAsia" w:ascii="仿宋" w:hAnsi="仿宋" w:eastAsia="仿宋" w:cs="微软雅黑"/>
          <w:b/>
          <w:kern w:val="0"/>
          <w:sz w:val="32"/>
          <w:szCs w:val="32"/>
        </w:rPr>
        <w:t>社会中介机构</w:t>
      </w:r>
      <w:r>
        <w:rPr>
          <w:rFonts w:hint="eastAsia" w:ascii="仿宋" w:hAnsi="仿宋" w:eastAsia="仿宋" w:cs="微软雅黑"/>
          <w:kern w:val="0"/>
          <w:sz w:val="32"/>
          <w:szCs w:val="32"/>
        </w:rPr>
        <w:t>的经济鉴证证明和特定事项的企业内部证据。[第六条]</w:t>
      </w:r>
    </w:p>
    <w:p w14:paraId="2059DE42">
      <w:pPr>
        <w:ind w:firstLine="643" w:firstLineChars="200"/>
        <w:rPr>
          <w:rFonts w:ascii="仿宋" w:hAnsi="仿宋" w:eastAsia="仿宋" w:cs="微软雅黑"/>
          <w:kern w:val="0"/>
          <w:sz w:val="32"/>
          <w:szCs w:val="32"/>
        </w:rPr>
      </w:pPr>
      <w:r>
        <w:rPr>
          <w:rFonts w:hint="eastAsia" w:ascii="仿宋" w:hAnsi="仿宋" w:eastAsia="仿宋" w:cs="微软雅黑"/>
          <w:b/>
          <w:kern w:val="0"/>
          <w:sz w:val="32"/>
          <w:szCs w:val="32"/>
        </w:rPr>
        <w:t>社会中介机构</w:t>
      </w:r>
      <w:r>
        <w:rPr>
          <w:rFonts w:hint="eastAsia" w:ascii="仿宋" w:hAnsi="仿宋" w:eastAsia="仿宋" w:cs="微软雅黑"/>
          <w:kern w:val="0"/>
          <w:sz w:val="32"/>
          <w:szCs w:val="32"/>
        </w:rPr>
        <w:t>的经济鉴证证明，是指社会中介机构按照独立、客观、公正的原则，在充分调查研究、论证和分析计算基础上，进行职业推断和客观评判，对企业的某项经济事项发表的专项经济鉴证证明或鉴证意见书，包括：会计师事务所、资产评估机构、律师事务所、</w:t>
      </w:r>
      <w:r>
        <w:rPr>
          <w:rFonts w:hint="eastAsia" w:ascii="仿宋" w:hAnsi="仿宋" w:eastAsia="仿宋" w:cs="微软雅黑"/>
          <w:b/>
          <w:kern w:val="0"/>
          <w:sz w:val="32"/>
          <w:szCs w:val="32"/>
        </w:rPr>
        <w:t>专业鉴定机构</w:t>
      </w:r>
      <w:r>
        <w:rPr>
          <w:rFonts w:hint="eastAsia" w:ascii="仿宋" w:hAnsi="仿宋" w:eastAsia="仿宋" w:cs="微软雅黑"/>
          <w:kern w:val="0"/>
          <w:sz w:val="32"/>
          <w:szCs w:val="32"/>
        </w:rPr>
        <w:t>等出具的经济鉴证证明或鉴证意见书。[第八条]</w:t>
      </w:r>
    </w:p>
    <w:p w14:paraId="2A44A768">
      <w:pPr>
        <w:ind w:firstLine="643" w:firstLineChars="200"/>
        <w:rPr>
          <w:rFonts w:ascii="仿宋" w:hAnsi="仿宋" w:eastAsia="仿宋" w:cs="微软雅黑"/>
          <w:b/>
          <w:kern w:val="0"/>
          <w:sz w:val="32"/>
          <w:szCs w:val="32"/>
        </w:rPr>
      </w:pPr>
      <w:r>
        <w:rPr>
          <w:rFonts w:hint="eastAsia" w:ascii="仿宋" w:hAnsi="仿宋" w:eastAsia="仿宋" w:cs="微软雅黑"/>
          <w:b/>
          <w:kern w:val="0"/>
          <w:sz w:val="32"/>
          <w:szCs w:val="32"/>
        </w:rPr>
        <w:t>规范依据</w:t>
      </w:r>
      <w:r>
        <w:rPr>
          <w:rFonts w:ascii="仿宋" w:hAnsi="仿宋" w:eastAsia="仿宋" w:cs="微软雅黑"/>
          <w:b/>
          <w:kern w:val="0"/>
          <w:sz w:val="32"/>
          <w:szCs w:val="32"/>
        </w:rPr>
        <w:t>3：</w:t>
      </w:r>
      <w:r>
        <w:rPr>
          <w:rFonts w:hint="eastAsia" w:ascii="仿宋" w:hAnsi="仿宋" w:eastAsia="仿宋" w:cs="微软雅黑"/>
          <w:kern w:val="0"/>
          <w:sz w:val="32"/>
          <w:szCs w:val="32"/>
        </w:rPr>
        <w:t>国务院国有资产监督管理委员会关于印发</w:t>
      </w:r>
      <w:r>
        <w:rPr>
          <w:rFonts w:ascii="仿宋" w:hAnsi="仿宋" w:eastAsia="仿宋" w:cs="微软雅黑"/>
          <w:kern w:val="0"/>
          <w:sz w:val="32"/>
          <w:szCs w:val="32"/>
        </w:rPr>
        <w:t>《国有企业清产核资工作规程》</w:t>
      </w:r>
      <w:r>
        <w:rPr>
          <w:rFonts w:hint="eastAsia" w:ascii="仿宋" w:hAnsi="仿宋" w:eastAsia="仿宋" w:cs="微软雅黑"/>
          <w:kern w:val="0"/>
          <w:sz w:val="32"/>
          <w:szCs w:val="32"/>
        </w:rPr>
        <w:t>的通知（</w:t>
      </w:r>
      <w:r>
        <w:rPr>
          <w:rFonts w:ascii="仿宋" w:hAnsi="仿宋" w:eastAsia="仿宋" w:cs="微软雅黑"/>
          <w:kern w:val="0"/>
          <w:sz w:val="32"/>
          <w:szCs w:val="32"/>
        </w:rPr>
        <w:t>国</w:t>
      </w:r>
      <w:r>
        <w:rPr>
          <w:rFonts w:hint="eastAsia" w:ascii="仿宋" w:hAnsi="仿宋" w:eastAsia="仿宋" w:cs="微软雅黑"/>
          <w:kern w:val="0"/>
          <w:sz w:val="32"/>
          <w:szCs w:val="32"/>
        </w:rPr>
        <w:t>资评价〔</w:t>
      </w:r>
      <w:r>
        <w:rPr>
          <w:rFonts w:ascii="仿宋" w:hAnsi="仿宋" w:eastAsia="仿宋" w:cs="微软雅黑"/>
          <w:kern w:val="0"/>
          <w:sz w:val="32"/>
          <w:szCs w:val="32"/>
        </w:rPr>
        <w:t>2003〕73号</w:t>
      </w:r>
      <w:r>
        <w:rPr>
          <w:rFonts w:hint="eastAsia" w:ascii="仿宋" w:hAnsi="仿宋" w:eastAsia="仿宋" w:cs="微软雅黑"/>
          <w:kern w:val="0"/>
          <w:sz w:val="32"/>
          <w:szCs w:val="32"/>
        </w:rPr>
        <w:t>）</w:t>
      </w:r>
    </w:p>
    <w:p w14:paraId="3F2D76F4">
      <w:pPr>
        <w:ind w:firstLine="643" w:firstLineChars="200"/>
        <w:rPr>
          <w:rFonts w:ascii="仿宋" w:hAnsi="仿宋" w:eastAsia="仿宋" w:cs="微软雅黑"/>
          <w:kern w:val="0"/>
          <w:sz w:val="32"/>
          <w:szCs w:val="32"/>
        </w:rPr>
      </w:pPr>
      <w:r>
        <w:rPr>
          <w:rFonts w:hint="eastAsia" w:ascii="仿宋" w:hAnsi="仿宋" w:eastAsia="仿宋" w:cs="微软雅黑"/>
          <w:b/>
          <w:kern w:val="0"/>
          <w:sz w:val="32"/>
          <w:szCs w:val="32"/>
        </w:rPr>
        <w:t>具体内容：社会中介机构</w:t>
      </w:r>
      <w:r>
        <w:rPr>
          <w:rFonts w:hint="eastAsia" w:ascii="仿宋" w:hAnsi="仿宋" w:eastAsia="仿宋" w:cs="微软雅黑"/>
          <w:kern w:val="0"/>
          <w:sz w:val="32"/>
          <w:szCs w:val="32"/>
        </w:rPr>
        <w:t>在清产核资专项财务审计工作和经济鉴证中享有法律规定的权力，承担法律规定的义务。任何企业和个人不得干涉社会中介机构正常职业行为。社会中介机构要在清产核资工作中保守企业的各项商业秘密。[第六十一条]</w:t>
      </w:r>
    </w:p>
    <w:p w14:paraId="7B456712">
      <w:pPr>
        <w:ind w:firstLine="643" w:firstLineChars="200"/>
        <w:rPr>
          <w:rFonts w:ascii="仿宋" w:hAnsi="仿宋" w:eastAsia="仿宋" w:cs="微软雅黑"/>
          <w:kern w:val="0"/>
          <w:sz w:val="32"/>
          <w:szCs w:val="32"/>
        </w:rPr>
      </w:pPr>
      <w:r>
        <w:rPr>
          <w:rFonts w:hint="eastAsia" w:ascii="仿宋" w:hAnsi="仿宋" w:eastAsia="仿宋" w:cs="微软雅黑"/>
          <w:b/>
          <w:kern w:val="0"/>
          <w:sz w:val="32"/>
          <w:szCs w:val="32"/>
        </w:rPr>
        <w:t>社会中介机构</w:t>
      </w:r>
      <w:r>
        <w:rPr>
          <w:rFonts w:hint="eastAsia" w:ascii="仿宋" w:hAnsi="仿宋" w:eastAsia="仿宋" w:cs="微软雅黑"/>
          <w:kern w:val="0"/>
          <w:sz w:val="32"/>
          <w:szCs w:val="32"/>
        </w:rPr>
        <w:t>在清产核资专项财务审计工作结束后，应当对企业的内控机制等情况进行审核的基础上，出具管理意见书，提出企业的改进相关管理的具体措施和建议。[第六十三条]</w:t>
      </w:r>
    </w:p>
    <w:p w14:paraId="5AA8A66F">
      <w:pPr>
        <w:pStyle w:val="28"/>
        <w:spacing w:before="0" w:beforeAutospacing="0" w:after="0" w:afterAutospacing="0"/>
        <w:ind w:firstLine="643" w:firstLineChars="200"/>
        <w:jc w:val="both"/>
        <w:rPr>
          <w:rFonts w:ascii="仿宋" w:hAnsi="仿宋" w:eastAsia="仿宋" w:cs="微软雅黑"/>
          <w:sz w:val="32"/>
          <w:szCs w:val="32"/>
        </w:rPr>
      </w:pPr>
      <w:r>
        <w:rPr>
          <w:rFonts w:hint="eastAsia" w:ascii="仿宋" w:hAnsi="仿宋" w:eastAsia="仿宋" w:cs="微软雅黑"/>
          <w:b/>
          <w:sz w:val="32"/>
          <w:szCs w:val="32"/>
        </w:rPr>
        <w:t>业务拓展建议：</w:t>
      </w:r>
      <w:r>
        <w:rPr>
          <w:rFonts w:ascii="仿宋" w:hAnsi="仿宋" w:eastAsia="仿宋" w:cs="微软雅黑"/>
          <w:sz w:val="32"/>
          <w:szCs w:val="32"/>
        </w:rPr>
        <w:t>1.</w:t>
      </w:r>
      <w:r>
        <w:rPr>
          <w:rFonts w:hint="eastAsia" w:ascii="仿宋" w:hAnsi="仿宋" w:eastAsia="仿宋" w:cs="微软雅黑"/>
          <w:sz w:val="32"/>
          <w:szCs w:val="32"/>
        </w:rPr>
        <w:t>受央企、国企委托，就资产损失认定提供税务鉴证、税务咨询、清产核资等服务</w:t>
      </w:r>
      <w:r>
        <w:rPr>
          <w:rFonts w:ascii="仿宋" w:hAnsi="仿宋" w:eastAsia="仿宋" w:cs="微软雅黑"/>
          <w:sz w:val="32"/>
          <w:szCs w:val="32"/>
        </w:rPr>
        <w:t>。2.为</w:t>
      </w:r>
      <w:r>
        <w:rPr>
          <w:rFonts w:hint="eastAsia" w:ascii="仿宋" w:hAnsi="仿宋" w:eastAsia="仿宋" w:cs="微软雅黑"/>
          <w:sz w:val="32"/>
          <w:szCs w:val="32"/>
        </w:rPr>
        <w:t>央企、国企</w:t>
      </w:r>
      <w:r>
        <w:rPr>
          <w:rFonts w:ascii="仿宋" w:hAnsi="仿宋" w:eastAsia="仿宋" w:cs="微软雅黑"/>
          <w:sz w:val="32"/>
          <w:szCs w:val="32"/>
        </w:rPr>
        <w:t>提供风险管理</w:t>
      </w:r>
      <w:r>
        <w:rPr>
          <w:rFonts w:hint="eastAsia" w:ascii="仿宋" w:hAnsi="仿宋" w:eastAsia="仿宋" w:cs="微软雅黑"/>
          <w:sz w:val="32"/>
          <w:szCs w:val="32"/>
        </w:rPr>
        <w:t>咨询</w:t>
      </w:r>
      <w:r>
        <w:rPr>
          <w:rFonts w:ascii="仿宋" w:hAnsi="仿宋" w:eastAsia="仿宋" w:cs="微软雅黑"/>
          <w:sz w:val="32"/>
          <w:szCs w:val="32"/>
        </w:rPr>
        <w:t>服务。</w:t>
      </w:r>
    </w:p>
    <w:p w14:paraId="54D340DA">
      <w:pPr>
        <w:pStyle w:val="28"/>
        <w:spacing w:before="0" w:beforeAutospacing="0" w:after="0" w:afterAutospacing="0"/>
        <w:ind w:firstLine="640" w:firstLineChars="200"/>
        <w:rPr>
          <w:rFonts w:ascii="黑体" w:hAnsi="黑体" w:eastAsia="黑体"/>
          <w:sz w:val="32"/>
          <w:szCs w:val="32"/>
        </w:rPr>
      </w:pPr>
      <w:r>
        <w:rPr>
          <w:rFonts w:hint="eastAsia" w:ascii="黑体" w:hAnsi="黑体" w:eastAsia="黑体"/>
          <w:sz w:val="32"/>
          <w:szCs w:val="32"/>
        </w:rPr>
        <w:t>三、依据部门规范性文件、部门工作文件可拓展的业务领域</w:t>
      </w:r>
    </w:p>
    <w:p w14:paraId="162C3B86">
      <w:pPr>
        <w:ind w:firstLine="643" w:firstLineChars="200"/>
        <w:rPr>
          <w:rFonts w:ascii="楷体" w:hAnsi="楷体" w:eastAsia="楷体" w:cs="微软雅黑"/>
          <w:b/>
          <w:kern w:val="0"/>
          <w:sz w:val="32"/>
          <w:szCs w:val="32"/>
        </w:rPr>
      </w:pPr>
      <w:r>
        <w:rPr>
          <w:rFonts w:hint="eastAsia" w:ascii="楷体" w:hAnsi="楷体" w:eastAsia="楷体" w:cs="微软雅黑"/>
          <w:b/>
          <w:kern w:val="0"/>
          <w:sz w:val="32"/>
          <w:szCs w:val="32"/>
        </w:rPr>
        <w:t>（一）受</w:t>
      </w:r>
      <w:r>
        <w:rPr>
          <w:rFonts w:ascii="楷体" w:hAnsi="楷体" w:eastAsia="楷体" w:cs="微软雅黑"/>
          <w:b/>
          <w:kern w:val="0"/>
          <w:sz w:val="32"/>
          <w:szCs w:val="32"/>
        </w:rPr>
        <w:t>各级财政部门、预算部门和单位委托</w:t>
      </w:r>
      <w:r>
        <w:rPr>
          <w:rFonts w:hint="eastAsia" w:ascii="楷体" w:hAnsi="楷体" w:eastAsia="楷体" w:cs="微软雅黑"/>
          <w:b/>
          <w:kern w:val="0"/>
          <w:sz w:val="32"/>
          <w:szCs w:val="32"/>
        </w:rPr>
        <w:t>，</w:t>
      </w:r>
      <w:r>
        <w:rPr>
          <w:rFonts w:ascii="楷体" w:hAnsi="楷体" w:eastAsia="楷体" w:cs="微软雅黑"/>
          <w:b/>
          <w:kern w:val="0"/>
          <w:sz w:val="32"/>
          <w:szCs w:val="32"/>
        </w:rPr>
        <w:t>参与预算绩效评价</w:t>
      </w:r>
    </w:p>
    <w:p w14:paraId="1A955CF7">
      <w:pPr>
        <w:widowControl/>
        <w:shd w:val="clear" w:color="auto" w:fill="FFFFFF"/>
        <w:ind w:firstLine="643" w:firstLineChars="200"/>
        <w:rPr>
          <w:rFonts w:ascii="仿宋" w:hAnsi="仿宋" w:eastAsia="仿宋" w:cs="Helvetica"/>
          <w:kern w:val="0"/>
          <w:sz w:val="32"/>
          <w:szCs w:val="32"/>
        </w:rPr>
      </w:pPr>
      <w:r>
        <w:rPr>
          <w:rFonts w:hint="eastAsia" w:ascii="仿宋" w:hAnsi="仿宋" w:eastAsia="仿宋" w:cs="Helvetica"/>
          <w:b/>
          <w:bCs/>
          <w:kern w:val="0"/>
          <w:sz w:val="32"/>
          <w:szCs w:val="32"/>
        </w:rPr>
        <w:t>规范依据1：</w:t>
      </w:r>
      <w:r>
        <w:rPr>
          <w:rFonts w:hint="eastAsia" w:ascii="仿宋" w:hAnsi="仿宋" w:eastAsia="仿宋" w:cs="Helvetica"/>
          <w:kern w:val="0"/>
          <w:sz w:val="32"/>
          <w:szCs w:val="32"/>
        </w:rPr>
        <w:t>财政部 住房城乡建设部关于印发《中央财政城镇保障性安居工程补助资金管理办法》的通知（财综〔2024〕15号）</w:t>
      </w:r>
    </w:p>
    <w:p w14:paraId="6085EB65">
      <w:pPr>
        <w:widowControl/>
        <w:shd w:val="clear" w:color="auto" w:fill="FFFFFF"/>
        <w:ind w:firstLine="643" w:firstLineChars="200"/>
        <w:rPr>
          <w:rFonts w:ascii="仿宋" w:hAnsi="仿宋" w:eastAsia="仿宋" w:cs="Helvetica"/>
          <w:kern w:val="0"/>
          <w:sz w:val="32"/>
          <w:szCs w:val="32"/>
        </w:rPr>
      </w:pPr>
      <w:r>
        <w:rPr>
          <w:rFonts w:hint="eastAsia" w:ascii="仿宋" w:hAnsi="仿宋" w:eastAsia="仿宋" w:cs="Helvetica"/>
          <w:b/>
          <w:bCs/>
          <w:kern w:val="0"/>
          <w:sz w:val="32"/>
          <w:szCs w:val="32"/>
        </w:rPr>
        <w:t>具体内容：</w:t>
      </w:r>
      <w:r>
        <w:rPr>
          <w:rFonts w:hint="eastAsia" w:ascii="仿宋" w:hAnsi="仿宋" w:eastAsia="仿宋" w:cs="Helvetica"/>
          <w:kern w:val="0"/>
          <w:sz w:val="32"/>
          <w:szCs w:val="32"/>
        </w:rPr>
        <w:t xml:space="preserve"> 各地区可以根据需要，委托专家、</w:t>
      </w:r>
      <w:r>
        <w:rPr>
          <w:rFonts w:hint="eastAsia" w:ascii="仿宋" w:hAnsi="仿宋" w:eastAsia="仿宋" w:cs="Helvetica"/>
          <w:b/>
          <w:bCs/>
          <w:kern w:val="0"/>
          <w:sz w:val="32"/>
          <w:szCs w:val="32"/>
        </w:rPr>
        <w:t>中介机构等第三方</w:t>
      </w:r>
      <w:r>
        <w:rPr>
          <w:rFonts w:hint="eastAsia" w:ascii="仿宋" w:hAnsi="仿宋" w:eastAsia="仿宋" w:cs="Helvetica"/>
          <w:kern w:val="0"/>
          <w:sz w:val="32"/>
          <w:szCs w:val="32"/>
        </w:rPr>
        <w:t>参与绩效评价工作。[第二十六条]</w:t>
      </w:r>
    </w:p>
    <w:p w14:paraId="6FF4AB4E">
      <w:pPr>
        <w:pStyle w:val="28"/>
        <w:spacing w:before="0" w:beforeAutospacing="0" w:after="0" w:afterAutospacing="0"/>
        <w:ind w:firstLine="643" w:firstLineChars="200"/>
        <w:jc w:val="both"/>
        <w:rPr>
          <w:rFonts w:ascii="仿宋" w:hAnsi="仿宋" w:eastAsia="仿宋" w:cs="微软雅黑"/>
          <w:sz w:val="32"/>
          <w:szCs w:val="32"/>
        </w:rPr>
      </w:pPr>
      <w:r>
        <w:rPr>
          <w:rFonts w:hint="eastAsia" w:ascii="仿宋" w:hAnsi="仿宋" w:eastAsia="仿宋" w:cs="微软雅黑"/>
          <w:b/>
          <w:sz w:val="32"/>
          <w:szCs w:val="32"/>
        </w:rPr>
        <w:t>规范依据2：</w:t>
      </w:r>
      <w:r>
        <w:fldChar w:fldCharType="begin"/>
      </w:r>
      <w:r>
        <w:instrText xml:space="preserve"> HYPERLINK "https://www.pkulaw.com/chl/3496e9994a487973bdfb.html?keyword=%E5%85%B3%E4%BA%8E%E5%8D%B0%E5%8F%91%E3%80%8A%E7%A4%BE%E4%BC%9A%E4%BF%9D%E9%99%A9%E5%9F%BA%E9%87%91%E9%A2%84%E7%AE%97%E7%BB%A9%E6%95%88%E7%AE%A1%E7%90%86%E5%8A%9E%E6%B3%95%E3%80%8B%E7%9A%84%E9%80%9A%E7%9F%A5&amp;way=listView" \t "_blank" </w:instrText>
      </w:r>
      <w:r>
        <w:fldChar w:fldCharType="separate"/>
      </w:r>
      <w:r>
        <w:rPr>
          <w:rFonts w:ascii="仿宋" w:hAnsi="仿宋" w:eastAsia="仿宋" w:cs="微软雅黑"/>
          <w:sz w:val="32"/>
          <w:szCs w:val="32"/>
        </w:rPr>
        <w:t>财政部、人力资源社会保障部、税务总局、国家医保局</w:t>
      </w:r>
      <w:r>
        <w:rPr>
          <w:rFonts w:ascii="仿宋" w:hAnsi="仿宋" w:eastAsia="仿宋" w:cs="微软雅黑"/>
          <w:sz w:val="32"/>
          <w:szCs w:val="32"/>
        </w:rPr>
        <w:fldChar w:fldCharType="end"/>
      </w:r>
      <w:r>
        <w:rPr>
          <w:rFonts w:hint="eastAsia" w:ascii="仿宋" w:hAnsi="仿宋" w:eastAsia="仿宋" w:cs="微软雅黑"/>
          <w:sz w:val="32"/>
          <w:szCs w:val="32"/>
        </w:rPr>
        <w:t>关于印发《社会保险基金预算绩效管理办法》的通知（财社〔2022〕65号）</w:t>
      </w:r>
    </w:p>
    <w:p w14:paraId="6AF45572">
      <w:pPr>
        <w:ind w:right="284" w:firstLine="643" w:firstLineChars="200"/>
        <w:rPr>
          <w:rFonts w:ascii="仿宋" w:hAnsi="仿宋" w:eastAsia="仿宋" w:cs="微软雅黑"/>
          <w:kern w:val="0"/>
          <w:sz w:val="32"/>
          <w:szCs w:val="32"/>
        </w:rPr>
      </w:pPr>
      <w:r>
        <w:rPr>
          <w:rFonts w:ascii="仿宋" w:hAnsi="仿宋" w:eastAsia="仿宋" w:cs="微软雅黑"/>
          <w:b/>
          <w:kern w:val="0"/>
          <w:sz w:val="32"/>
          <w:szCs w:val="32"/>
        </w:rPr>
        <w:t>具体内容：</w:t>
      </w:r>
      <w:r>
        <w:rPr>
          <w:rFonts w:ascii="仿宋" w:hAnsi="仿宋" w:eastAsia="仿宋" w:cs="微软雅黑"/>
          <w:kern w:val="0"/>
          <w:sz w:val="32"/>
          <w:szCs w:val="32"/>
        </w:rPr>
        <w:t>根据工作需要，绩效评价工作可委托</w:t>
      </w:r>
      <w:r>
        <w:rPr>
          <w:rFonts w:ascii="仿宋" w:hAnsi="仿宋" w:eastAsia="仿宋" w:cs="微软雅黑"/>
          <w:b/>
          <w:kern w:val="0"/>
          <w:sz w:val="32"/>
          <w:szCs w:val="32"/>
        </w:rPr>
        <w:t>中介机构、专家等第三方</w:t>
      </w:r>
      <w:r>
        <w:rPr>
          <w:rFonts w:ascii="仿宋" w:hAnsi="仿宋" w:eastAsia="仿宋" w:cs="微软雅黑"/>
          <w:kern w:val="0"/>
          <w:sz w:val="32"/>
          <w:szCs w:val="32"/>
        </w:rPr>
        <w:t>具体实施。</w:t>
      </w:r>
      <w:r>
        <w:rPr>
          <w:rFonts w:hint="eastAsia" w:ascii="仿宋" w:hAnsi="仿宋" w:eastAsia="仿宋" w:cs="微软雅黑"/>
          <w:kern w:val="0"/>
          <w:sz w:val="32"/>
          <w:szCs w:val="32"/>
        </w:rPr>
        <w:t>[</w:t>
      </w:r>
      <w:r>
        <w:rPr>
          <w:rFonts w:ascii="仿宋" w:hAnsi="仿宋" w:eastAsia="仿宋" w:cs="微软雅黑"/>
          <w:kern w:val="0"/>
          <w:sz w:val="32"/>
          <w:szCs w:val="32"/>
        </w:rPr>
        <w:t>第十七条</w:t>
      </w:r>
      <w:r>
        <w:rPr>
          <w:rFonts w:hint="eastAsia" w:ascii="仿宋" w:hAnsi="仿宋" w:eastAsia="仿宋" w:cs="微软雅黑"/>
          <w:kern w:val="0"/>
          <w:sz w:val="32"/>
          <w:szCs w:val="32"/>
        </w:rPr>
        <w:t>]</w:t>
      </w:r>
    </w:p>
    <w:p w14:paraId="691C7E15">
      <w:pPr>
        <w:pStyle w:val="28"/>
        <w:spacing w:before="0" w:beforeAutospacing="0" w:after="0" w:afterAutospacing="0"/>
        <w:ind w:firstLine="643" w:firstLineChars="200"/>
        <w:jc w:val="both"/>
        <w:rPr>
          <w:rFonts w:ascii="仿宋" w:hAnsi="仿宋" w:eastAsia="仿宋" w:cs="微软雅黑"/>
          <w:sz w:val="32"/>
          <w:szCs w:val="32"/>
        </w:rPr>
      </w:pPr>
      <w:r>
        <w:rPr>
          <w:rFonts w:hint="eastAsia" w:ascii="仿宋" w:hAnsi="仿宋" w:eastAsia="仿宋" w:cs="微软雅黑"/>
          <w:b/>
          <w:sz w:val="32"/>
          <w:szCs w:val="32"/>
        </w:rPr>
        <w:t>规范</w:t>
      </w:r>
      <w:r>
        <w:rPr>
          <w:rFonts w:ascii="仿宋" w:hAnsi="仿宋" w:eastAsia="仿宋" w:cs="微软雅黑"/>
          <w:b/>
          <w:sz w:val="32"/>
          <w:szCs w:val="32"/>
        </w:rPr>
        <w:t>依据</w:t>
      </w:r>
      <w:r>
        <w:rPr>
          <w:rFonts w:hint="eastAsia" w:ascii="仿宋" w:hAnsi="仿宋" w:eastAsia="仿宋" w:cs="微软雅黑"/>
          <w:b/>
          <w:sz w:val="32"/>
          <w:szCs w:val="32"/>
        </w:rPr>
        <w:t>3</w:t>
      </w:r>
      <w:r>
        <w:rPr>
          <w:rFonts w:ascii="仿宋" w:hAnsi="仿宋" w:eastAsia="仿宋" w:cs="微软雅黑"/>
          <w:b/>
          <w:sz w:val="32"/>
          <w:szCs w:val="32"/>
        </w:rPr>
        <w:t>：</w:t>
      </w:r>
      <w:r>
        <w:rPr>
          <w:rFonts w:ascii="仿宋" w:hAnsi="仿宋" w:eastAsia="仿宋" w:cs="微软雅黑"/>
          <w:sz w:val="32"/>
          <w:szCs w:val="32"/>
        </w:rPr>
        <w:t>财政部关于印发《第三方机构预算绩效评价业务监督管理暂行办法》的通知（财监〔2021〕4号）</w:t>
      </w:r>
    </w:p>
    <w:p w14:paraId="24640636">
      <w:pPr>
        <w:widowControl/>
        <w:ind w:firstLine="643" w:firstLineChars="200"/>
        <w:jc w:val="left"/>
        <w:rPr>
          <w:rFonts w:ascii="仿宋" w:hAnsi="仿宋" w:eastAsia="仿宋" w:cs="微软雅黑"/>
          <w:kern w:val="0"/>
          <w:sz w:val="32"/>
          <w:szCs w:val="32"/>
        </w:rPr>
      </w:pPr>
      <w:r>
        <w:rPr>
          <w:rFonts w:ascii="仿宋" w:hAnsi="仿宋" w:eastAsia="仿宋" w:cs="微软雅黑"/>
          <w:b/>
          <w:kern w:val="0"/>
          <w:sz w:val="32"/>
          <w:szCs w:val="32"/>
        </w:rPr>
        <w:t>具体内容：</w:t>
      </w:r>
      <w:r>
        <w:rPr>
          <w:rFonts w:ascii="仿宋" w:hAnsi="仿宋" w:eastAsia="仿宋" w:cs="微软雅黑"/>
          <w:kern w:val="0"/>
          <w:sz w:val="32"/>
          <w:szCs w:val="32"/>
        </w:rPr>
        <w:t>本办法所称第三方机构是指依法设立并向各级财政部门、预算部门和单位等管理、使用财政资金的主体（以下统称委托方）提供预算绩效评价服务，独立于委托方和预算绩效评价对象的组织，主要包括</w:t>
      </w:r>
      <w:r>
        <w:rPr>
          <w:rFonts w:ascii="仿宋" w:hAnsi="仿宋" w:eastAsia="仿宋" w:cs="微软雅黑"/>
          <w:b/>
          <w:kern w:val="0"/>
          <w:sz w:val="32"/>
          <w:szCs w:val="32"/>
        </w:rPr>
        <w:t>专业咨询机构</w:t>
      </w:r>
      <w:r>
        <w:rPr>
          <w:rFonts w:ascii="仿宋" w:hAnsi="仿宋" w:eastAsia="仿宋" w:cs="微软雅黑"/>
          <w:kern w:val="0"/>
          <w:sz w:val="32"/>
          <w:szCs w:val="32"/>
        </w:rPr>
        <w:t>、会计师事务所、资产评估机构、律师事务所、科研院所、高等院校等。</w:t>
      </w:r>
    </w:p>
    <w:p w14:paraId="6642BA12">
      <w:pPr>
        <w:widowControl/>
        <w:shd w:val="clear" w:color="auto" w:fill="FFFFFF"/>
        <w:ind w:firstLine="640" w:firstLineChars="200"/>
        <w:jc w:val="left"/>
        <w:rPr>
          <w:rFonts w:ascii="仿宋" w:hAnsi="仿宋" w:eastAsia="仿宋" w:cs="Arial"/>
          <w:kern w:val="0"/>
          <w:sz w:val="32"/>
          <w:szCs w:val="32"/>
        </w:rPr>
      </w:pPr>
      <w:r>
        <w:rPr>
          <w:rFonts w:ascii="仿宋" w:hAnsi="仿宋" w:eastAsia="仿宋" w:cs="微软雅黑"/>
          <w:kern w:val="0"/>
          <w:sz w:val="32"/>
          <w:szCs w:val="32"/>
        </w:rPr>
        <w:t>本条第一款所称预算绩效评价服务是指第三方机构接受委托方委托，对预算</w:t>
      </w:r>
      <w:r>
        <w:rPr>
          <w:rFonts w:ascii="仿宋" w:hAnsi="仿宋" w:eastAsia="仿宋" w:cs="Arial"/>
          <w:kern w:val="0"/>
          <w:sz w:val="32"/>
          <w:szCs w:val="32"/>
        </w:rPr>
        <w:t>绩效评价对象进行评价，并出具预算绩效评价报告的专业服务行为。</w:t>
      </w:r>
      <w:r>
        <w:rPr>
          <w:rFonts w:hint="eastAsia" w:ascii="仿宋" w:hAnsi="仿宋" w:eastAsia="仿宋" w:cs="Arial"/>
          <w:kern w:val="0"/>
          <w:sz w:val="32"/>
          <w:szCs w:val="32"/>
        </w:rPr>
        <w:t>[</w:t>
      </w:r>
      <w:r>
        <w:rPr>
          <w:rFonts w:ascii="仿宋" w:hAnsi="仿宋" w:eastAsia="仿宋" w:cs="微软雅黑"/>
          <w:kern w:val="0"/>
          <w:sz w:val="32"/>
          <w:szCs w:val="32"/>
        </w:rPr>
        <w:t>第二条</w:t>
      </w:r>
      <w:r>
        <w:rPr>
          <w:rFonts w:hint="eastAsia" w:ascii="仿宋" w:hAnsi="仿宋" w:eastAsia="仿宋" w:cs="Arial"/>
          <w:kern w:val="0"/>
          <w:sz w:val="32"/>
          <w:szCs w:val="32"/>
        </w:rPr>
        <w:t>]</w:t>
      </w:r>
    </w:p>
    <w:p w14:paraId="6E236412">
      <w:pPr>
        <w:ind w:right="284" w:firstLine="643" w:firstLineChars="200"/>
        <w:rPr>
          <w:rFonts w:ascii="仿宋" w:hAnsi="仿宋" w:eastAsia="仿宋" w:cs="微软雅黑"/>
          <w:kern w:val="0"/>
          <w:sz w:val="32"/>
          <w:szCs w:val="32"/>
        </w:rPr>
      </w:pPr>
      <w:r>
        <w:rPr>
          <w:rFonts w:hint="eastAsia" w:ascii="仿宋" w:hAnsi="仿宋" w:eastAsia="仿宋" w:cs="微软雅黑"/>
          <w:b/>
          <w:kern w:val="0"/>
          <w:sz w:val="32"/>
          <w:szCs w:val="32"/>
        </w:rPr>
        <w:t>规范依据4：</w:t>
      </w:r>
      <w:r>
        <w:rPr>
          <w:rFonts w:hint="eastAsia" w:ascii="仿宋" w:hAnsi="仿宋" w:eastAsia="仿宋" w:cs="微软雅黑"/>
          <w:kern w:val="0"/>
          <w:sz w:val="32"/>
          <w:szCs w:val="32"/>
        </w:rPr>
        <w:t>财政部《关于委托第三方机构参与预算绩效管理的指导意见》（财预〔2021〕6号）</w:t>
      </w:r>
    </w:p>
    <w:p w14:paraId="6A52037A">
      <w:pPr>
        <w:ind w:right="284" w:firstLine="643" w:firstLineChars="200"/>
        <w:rPr>
          <w:rFonts w:ascii="仿宋" w:hAnsi="仿宋" w:eastAsia="仿宋" w:cs="微软雅黑"/>
          <w:kern w:val="0"/>
          <w:sz w:val="32"/>
          <w:szCs w:val="32"/>
        </w:rPr>
      </w:pPr>
      <w:r>
        <w:rPr>
          <w:rFonts w:hint="eastAsia" w:ascii="仿宋" w:hAnsi="仿宋" w:eastAsia="仿宋" w:cs="微软雅黑"/>
          <w:b/>
          <w:kern w:val="0"/>
          <w:sz w:val="32"/>
          <w:szCs w:val="32"/>
        </w:rPr>
        <w:t>具体内容：</w:t>
      </w:r>
      <w:r>
        <w:rPr>
          <w:rFonts w:hint="eastAsia" w:ascii="仿宋" w:hAnsi="仿宋" w:eastAsia="仿宋" w:cs="微软雅黑"/>
          <w:kern w:val="0"/>
          <w:sz w:val="32"/>
          <w:szCs w:val="32"/>
        </w:rPr>
        <w:t>规范委托</w:t>
      </w:r>
      <w:r>
        <w:rPr>
          <w:rFonts w:hint="eastAsia" w:ascii="仿宋" w:hAnsi="仿宋" w:eastAsia="仿宋" w:cs="微软雅黑"/>
          <w:b/>
          <w:kern w:val="0"/>
          <w:sz w:val="32"/>
          <w:szCs w:val="32"/>
        </w:rPr>
        <w:t>第三方机构</w:t>
      </w:r>
      <w:r>
        <w:rPr>
          <w:rFonts w:hint="eastAsia" w:ascii="仿宋" w:hAnsi="仿宋" w:eastAsia="仿宋" w:cs="微软雅黑"/>
          <w:kern w:val="0"/>
          <w:sz w:val="32"/>
          <w:szCs w:val="32"/>
        </w:rPr>
        <w:t>参与预算绩效管理的范围。委托第三方机构参与绩效管理，主要包括以下方面工作内容：一是事前绩效评估和绩效目标审核；二是绩效评价或评价结果复核；三是绩效指标和标准体系制定；四是预算绩效管理相关课题研究。具体项目选择上，可以结合工作实际，通过优先选取重点项目、随机选取一般性项目，以及分年度分重点滚动安排等方式开展。[第二条第二款]</w:t>
      </w:r>
    </w:p>
    <w:p w14:paraId="2DAC4E3A">
      <w:pPr>
        <w:ind w:right="284" w:firstLine="640" w:firstLineChars="200"/>
        <w:rPr>
          <w:rFonts w:ascii="仿宋" w:hAnsi="仿宋" w:eastAsia="仿宋" w:cs="微软雅黑"/>
          <w:kern w:val="0"/>
          <w:sz w:val="32"/>
          <w:szCs w:val="32"/>
        </w:rPr>
      </w:pPr>
      <w:r>
        <w:rPr>
          <w:rFonts w:hint="eastAsia" w:ascii="仿宋" w:hAnsi="仿宋" w:eastAsia="仿宋" w:cs="微软雅黑"/>
          <w:kern w:val="0"/>
          <w:sz w:val="32"/>
          <w:szCs w:val="32"/>
        </w:rPr>
        <w:t>依法合规优选第三方机构。委托方应当严格按照政府采购、政府购买服务的程序和要求，选取专业能力突出、机构管理规范、执业信誉较好的第三方机构参与绩效管理工作。第三方机构须独立于委托方和绩效管理对象，主要包括</w:t>
      </w:r>
      <w:r>
        <w:rPr>
          <w:rFonts w:hint="eastAsia" w:ascii="仿宋" w:hAnsi="仿宋" w:eastAsia="仿宋" w:cs="微软雅黑"/>
          <w:b/>
          <w:kern w:val="0"/>
          <w:sz w:val="32"/>
          <w:szCs w:val="32"/>
        </w:rPr>
        <w:t>社会咨询机构</w:t>
      </w:r>
      <w:r>
        <w:rPr>
          <w:rFonts w:hint="eastAsia" w:ascii="仿宋" w:hAnsi="仿宋" w:eastAsia="仿宋" w:cs="微软雅黑"/>
          <w:kern w:val="0"/>
          <w:sz w:val="32"/>
          <w:szCs w:val="32"/>
        </w:rPr>
        <w:t>、会计师事务所、资产评估机构等社会组织或中介机构，科研院所、高等院校等事业单位等。[第二条第四款]</w:t>
      </w:r>
    </w:p>
    <w:p w14:paraId="30C220DC">
      <w:pPr>
        <w:widowControl/>
        <w:ind w:firstLine="643" w:firstLineChars="200"/>
        <w:jc w:val="left"/>
        <w:rPr>
          <w:rFonts w:ascii="仿宋" w:hAnsi="仿宋" w:eastAsia="仿宋" w:cs="微软雅黑"/>
          <w:kern w:val="0"/>
          <w:sz w:val="32"/>
          <w:szCs w:val="32"/>
        </w:rPr>
      </w:pPr>
      <w:r>
        <w:rPr>
          <w:rFonts w:hint="eastAsia" w:ascii="仿宋" w:hAnsi="仿宋" w:eastAsia="仿宋" w:cs="微软雅黑"/>
          <w:b/>
          <w:kern w:val="0"/>
          <w:sz w:val="32"/>
          <w:szCs w:val="32"/>
        </w:rPr>
        <w:t>规范依据5：</w:t>
      </w:r>
      <w:r>
        <w:rPr>
          <w:rFonts w:ascii="仿宋" w:hAnsi="仿宋" w:eastAsia="仿宋" w:cs="微软雅黑"/>
          <w:kern w:val="0"/>
          <w:sz w:val="32"/>
          <w:szCs w:val="32"/>
        </w:rPr>
        <w:t>财政部关于印发《政府性融资担保、再担保机构绩效评价指引》的通知（财金〔2020〕31号）</w:t>
      </w:r>
    </w:p>
    <w:p w14:paraId="6C32693F">
      <w:pPr>
        <w:widowControl/>
        <w:ind w:firstLine="643" w:firstLineChars="200"/>
        <w:jc w:val="left"/>
        <w:rPr>
          <w:rFonts w:ascii="仿宋" w:hAnsi="仿宋" w:eastAsia="仿宋" w:cs="微软雅黑"/>
          <w:kern w:val="0"/>
          <w:sz w:val="32"/>
          <w:szCs w:val="32"/>
        </w:rPr>
      </w:pPr>
      <w:r>
        <w:rPr>
          <w:rFonts w:ascii="仿宋" w:hAnsi="仿宋" w:eastAsia="仿宋" w:cs="微软雅黑"/>
          <w:b/>
          <w:kern w:val="0"/>
          <w:sz w:val="32"/>
          <w:szCs w:val="32"/>
        </w:rPr>
        <w:t>具体内容：</w:t>
      </w:r>
      <w:r>
        <w:rPr>
          <w:rFonts w:ascii="仿宋" w:hAnsi="仿宋" w:eastAsia="仿宋" w:cs="微软雅黑"/>
          <w:kern w:val="0"/>
          <w:sz w:val="32"/>
          <w:szCs w:val="32"/>
        </w:rPr>
        <w:t>本级财政部门根据政府性融资担保、再担保机构提供的绩效自评报告及基础材料，组织开展绩效评价工作，必要时可委托</w:t>
      </w:r>
      <w:r>
        <w:rPr>
          <w:rFonts w:ascii="仿宋" w:hAnsi="仿宋" w:eastAsia="仿宋" w:cs="微软雅黑"/>
          <w:b/>
          <w:kern w:val="0"/>
          <w:sz w:val="32"/>
          <w:szCs w:val="32"/>
        </w:rPr>
        <w:t>第三方机构</w:t>
      </w:r>
      <w:r>
        <w:rPr>
          <w:rFonts w:ascii="仿宋" w:hAnsi="仿宋" w:eastAsia="仿宋" w:cs="微软雅黑"/>
          <w:kern w:val="0"/>
          <w:sz w:val="32"/>
          <w:szCs w:val="32"/>
        </w:rPr>
        <w:t>参与。本级财政部门应及时完成绩效评价工作并将绩效评价结果反馈政府性融资担保、再担保机构及其股东单位，抄送省级中小企业主管部门、农业农村部门、融资担保公司监督管理部门。</w:t>
      </w:r>
      <w:r>
        <w:rPr>
          <w:rFonts w:hint="eastAsia" w:ascii="仿宋" w:hAnsi="仿宋" w:eastAsia="仿宋" w:cs="微软雅黑"/>
          <w:kern w:val="0"/>
          <w:sz w:val="32"/>
          <w:szCs w:val="32"/>
        </w:rPr>
        <w:t>[</w:t>
      </w:r>
      <w:r>
        <w:rPr>
          <w:rFonts w:ascii="仿宋" w:hAnsi="仿宋" w:eastAsia="仿宋" w:cs="微软雅黑"/>
          <w:kern w:val="0"/>
          <w:sz w:val="32"/>
          <w:szCs w:val="32"/>
        </w:rPr>
        <w:t>第十二条</w:t>
      </w:r>
      <w:r>
        <w:rPr>
          <w:rFonts w:hint="eastAsia" w:ascii="仿宋" w:hAnsi="仿宋" w:eastAsia="仿宋" w:cs="微软雅黑"/>
          <w:kern w:val="0"/>
          <w:sz w:val="32"/>
          <w:szCs w:val="32"/>
        </w:rPr>
        <w:t>]</w:t>
      </w:r>
    </w:p>
    <w:p w14:paraId="2D181D00">
      <w:pPr>
        <w:widowControl/>
        <w:ind w:firstLine="643" w:firstLineChars="200"/>
        <w:jc w:val="left"/>
        <w:rPr>
          <w:rFonts w:ascii="仿宋" w:hAnsi="仿宋" w:eastAsia="仿宋" w:cs="微软雅黑"/>
          <w:kern w:val="0"/>
          <w:sz w:val="32"/>
          <w:szCs w:val="32"/>
        </w:rPr>
      </w:pPr>
      <w:r>
        <w:rPr>
          <w:rFonts w:hint="eastAsia" w:ascii="仿宋" w:hAnsi="仿宋" w:eastAsia="仿宋" w:cs="微软雅黑"/>
          <w:b/>
          <w:kern w:val="0"/>
          <w:sz w:val="32"/>
          <w:szCs w:val="32"/>
        </w:rPr>
        <w:t>规范依据6：</w:t>
      </w:r>
      <w:r>
        <w:rPr>
          <w:rFonts w:ascii="仿宋" w:hAnsi="仿宋" w:eastAsia="仿宋" w:cs="微软雅黑"/>
          <w:kern w:val="0"/>
          <w:sz w:val="32"/>
          <w:szCs w:val="32"/>
        </w:rPr>
        <w:t>财政部、生态环境部关于印发《土壤污染防治专项资金绩效评价管理暂行办法》的通知（财资环〔2020〕11号）</w:t>
      </w:r>
    </w:p>
    <w:p w14:paraId="2B5631AC">
      <w:pPr>
        <w:widowControl/>
        <w:ind w:firstLine="643" w:firstLineChars="200"/>
        <w:jc w:val="left"/>
        <w:rPr>
          <w:rFonts w:ascii="仿宋" w:hAnsi="仿宋" w:eastAsia="仿宋" w:cs="微软雅黑"/>
          <w:kern w:val="0"/>
          <w:sz w:val="32"/>
          <w:szCs w:val="32"/>
        </w:rPr>
      </w:pPr>
      <w:r>
        <w:rPr>
          <w:rFonts w:ascii="仿宋" w:hAnsi="仿宋" w:eastAsia="仿宋" w:cs="微软雅黑"/>
          <w:b/>
          <w:kern w:val="0"/>
          <w:sz w:val="32"/>
          <w:szCs w:val="32"/>
        </w:rPr>
        <w:t>具体内容：</w:t>
      </w:r>
      <w:r>
        <w:rPr>
          <w:rFonts w:ascii="仿宋" w:hAnsi="仿宋" w:eastAsia="仿宋" w:cs="微软雅黑"/>
          <w:kern w:val="0"/>
          <w:sz w:val="32"/>
          <w:szCs w:val="32"/>
        </w:rPr>
        <w:t>财政部、生态环境部审核汇总地方自评报告，编制形成全国年度绩效评价报告。确有必要的，财政部、生态环境部可以对地方自评情况进行现场复核，并可以邀请专家、</w:t>
      </w:r>
      <w:r>
        <w:rPr>
          <w:rFonts w:ascii="仿宋" w:hAnsi="仿宋" w:eastAsia="仿宋" w:cs="微软雅黑"/>
          <w:b/>
          <w:kern w:val="0"/>
          <w:sz w:val="32"/>
          <w:szCs w:val="32"/>
        </w:rPr>
        <w:t>中介机构等第三方</w:t>
      </w:r>
      <w:r>
        <w:rPr>
          <w:rFonts w:ascii="仿宋" w:hAnsi="仿宋" w:eastAsia="仿宋" w:cs="微软雅黑"/>
          <w:kern w:val="0"/>
          <w:sz w:val="32"/>
          <w:szCs w:val="32"/>
        </w:rPr>
        <w:t>参与。</w:t>
      </w:r>
      <w:r>
        <w:rPr>
          <w:rFonts w:hint="eastAsia" w:ascii="仿宋" w:hAnsi="仿宋" w:eastAsia="仿宋" w:cs="微软雅黑"/>
          <w:kern w:val="0"/>
          <w:sz w:val="32"/>
          <w:szCs w:val="32"/>
        </w:rPr>
        <w:t>[</w:t>
      </w:r>
      <w:r>
        <w:rPr>
          <w:rFonts w:ascii="仿宋" w:hAnsi="仿宋" w:eastAsia="仿宋" w:cs="微软雅黑"/>
          <w:kern w:val="0"/>
          <w:sz w:val="32"/>
          <w:szCs w:val="32"/>
        </w:rPr>
        <w:t>第十条</w:t>
      </w:r>
      <w:r>
        <w:rPr>
          <w:rFonts w:hint="eastAsia" w:ascii="仿宋" w:hAnsi="仿宋" w:eastAsia="仿宋" w:cs="微软雅黑"/>
          <w:kern w:val="0"/>
          <w:sz w:val="32"/>
          <w:szCs w:val="32"/>
        </w:rPr>
        <w:t>]</w:t>
      </w:r>
    </w:p>
    <w:p w14:paraId="3EE029E5">
      <w:pPr>
        <w:ind w:right="284" w:firstLine="643" w:firstLineChars="200"/>
        <w:rPr>
          <w:rFonts w:ascii="仿宋" w:hAnsi="仿宋" w:eastAsia="仿宋" w:cs="微软雅黑"/>
          <w:kern w:val="0"/>
          <w:sz w:val="32"/>
          <w:szCs w:val="32"/>
        </w:rPr>
      </w:pPr>
      <w:r>
        <w:rPr>
          <w:rFonts w:hint="eastAsia" w:ascii="仿宋" w:hAnsi="仿宋" w:eastAsia="仿宋" w:cs="微软雅黑"/>
          <w:b/>
          <w:kern w:val="0"/>
          <w:sz w:val="32"/>
          <w:szCs w:val="32"/>
        </w:rPr>
        <w:t>规范依据7：</w:t>
      </w:r>
      <w:r>
        <w:fldChar w:fldCharType="begin"/>
      </w:r>
      <w:r>
        <w:instrText xml:space="preserve"> HYPERLINK "https://www.faxin.cn/lib/zyfl/ZyflContent.aspx?gid=A287569&amp;libid=010104&amp;userinput=%25e5%2585%25b3%25e4%25ba%258e%25e5%258d%25b0%25e5%258f%2591%253c%25e9%25a1%25b9%25e7%259b%25ae%25e6%2594%25af%25e5%2587%25ba%25e7%25bb%25a9%25e6%2595%2588%25e8%25af%2584%25e4%25bb%25b7%25e7%25ae%25a1%25e7%2590%2586%25e5%258a%259e%25e6%25b3%2595%253e%25e7%259a%2584%25e9%2580%259a%25e7%259f%25a5" \t "_blank" </w:instrText>
      </w:r>
      <w:r>
        <w:fldChar w:fldCharType="separate"/>
      </w:r>
      <w:r>
        <w:rPr>
          <w:rFonts w:hint="eastAsia" w:ascii="仿宋" w:hAnsi="仿宋" w:eastAsia="仿宋" w:cs="微软雅黑"/>
          <w:kern w:val="0"/>
          <w:sz w:val="32"/>
          <w:szCs w:val="32"/>
        </w:rPr>
        <w:t>财政部关于印发《项目支出绩效评价管理办法》的通知</w:t>
      </w:r>
      <w:r>
        <w:rPr>
          <w:rFonts w:ascii="仿宋" w:hAnsi="仿宋" w:eastAsia="仿宋" w:cs="微软雅黑"/>
          <w:kern w:val="0"/>
          <w:sz w:val="32"/>
          <w:szCs w:val="32"/>
        </w:rPr>
        <w:fldChar w:fldCharType="end"/>
      </w:r>
      <w:r>
        <w:rPr>
          <w:rFonts w:hint="eastAsia" w:ascii="仿宋" w:hAnsi="仿宋" w:eastAsia="仿宋" w:cs="微软雅黑"/>
          <w:kern w:val="0"/>
          <w:sz w:val="32"/>
          <w:szCs w:val="32"/>
        </w:rPr>
        <w:t>(2020修订)（财预〔2020〕10号）</w:t>
      </w:r>
    </w:p>
    <w:p w14:paraId="1B6CAF39">
      <w:pPr>
        <w:ind w:firstLine="643" w:firstLineChars="200"/>
        <w:rPr>
          <w:rFonts w:ascii="仿宋" w:hAnsi="仿宋" w:eastAsia="仿宋" w:cs="微软雅黑"/>
          <w:kern w:val="0"/>
          <w:sz w:val="32"/>
          <w:szCs w:val="32"/>
        </w:rPr>
      </w:pPr>
      <w:r>
        <w:rPr>
          <w:rFonts w:hint="eastAsia" w:ascii="仿宋" w:hAnsi="仿宋" w:eastAsia="仿宋" w:cs="微软雅黑"/>
          <w:b/>
          <w:kern w:val="0"/>
          <w:sz w:val="32"/>
          <w:szCs w:val="32"/>
        </w:rPr>
        <w:t>具体内容：</w:t>
      </w:r>
      <w:r>
        <w:rPr>
          <w:rFonts w:hint="eastAsia" w:ascii="仿宋" w:hAnsi="仿宋" w:eastAsia="仿宋" w:cs="微软雅黑"/>
          <w:kern w:val="0"/>
          <w:sz w:val="32"/>
          <w:szCs w:val="32"/>
        </w:rPr>
        <w:t>统筹兼顾。单位自评、部门评价和财政评价应职责明确，各有侧重，相互衔接。单位自评应由项目单位自主实施，即“谁支出、谁自评”。部门评价和财政评价应在单位自评的基础上开展，必要时可委托</w:t>
      </w:r>
      <w:r>
        <w:rPr>
          <w:rFonts w:hint="eastAsia" w:ascii="仿宋" w:hAnsi="仿宋" w:eastAsia="仿宋" w:cs="微软雅黑"/>
          <w:b/>
          <w:kern w:val="0"/>
          <w:sz w:val="32"/>
          <w:szCs w:val="32"/>
        </w:rPr>
        <w:t>第三方机构</w:t>
      </w:r>
      <w:r>
        <w:rPr>
          <w:rFonts w:hint="eastAsia" w:ascii="仿宋" w:hAnsi="仿宋" w:eastAsia="仿宋" w:cs="微软雅黑"/>
          <w:kern w:val="0"/>
          <w:sz w:val="32"/>
          <w:szCs w:val="32"/>
        </w:rPr>
        <w:t>实施。[第五条第二款]</w:t>
      </w:r>
    </w:p>
    <w:p w14:paraId="69165086">
      <w:pPr>
        <w:ind w:right="284" w:firstLine="640" w:firstLineChars="200"/>
        <w:rPr>
          <w:rFonts w:ascii="仿宋" w:hAnsi="仿宋" w:eastAsia="仿宋" w:cs="微软雅黑"/>
          <w:kern w:val="0"/>
          <w:sz w:val="32"/>
          <w:szCs w:val="32"/>
        </w:rPr>
      </w:pPr>
      <w:r>
        <w:rPr>
          <w:rFonts w:hint="eastAsia" w:ascii="仿宋" w:hAnsi="仿宋" w:eastAsia="仿宋" w:cs="微软雅黑"/>
          <w:kern w:val="0"/>
          <w:sz w:val="32"/>
          <w:szCs w:val="32"/>
        </w:rPr>
        <w:t>财政和部门评价根据需要可委托</w:t>
      </w:r>
      <w:r>
        <w:rPr>
          <w:rFonts w:hint="eastAsia" w:ascii="仿宋" w:hAnsi="仿宋" w:eastAsia="仿宋" w:cs="微软雅黑"/>
          <w:b/>
          <w:kern w:val="0"/>
          <w:sz w:val="32"/>
          <w:szCs w:val="32"/>
        </w:rPr>
        <w:t>第三方机构或相关领域专家</w:t>
      </w:r>
      <w:r>
        <w:rPr>
          <w:rFonts w:hint="eastAsia" w:ascii="仿宋" w:hAnsi="仿宋" w:eastAsia="仿宋" w:cs="微软雅黑"/>
          <w:kern w:val="0"/>
          <w:sz w:val="32"/>
          <w:szCs w:val="32"/>
        </w:rPr>
        <w:t>（以下简称第三方，主要是指与资金使用单位没有直接利益关系的单位和个人）参与，并加强对第三方的指导，对第三方工作质量进行监督管理，推动提高评价的客观性和公正性。[第二十三条]</w:t>
      </w:r>
    </w:p>
    <w:p w14:paraId="4BCE0EDB">
      <w:pPr>
        <w:widowControl/>
        <w:ind w:firstLine="643" w:firstLineChars="200"/>
        <w:jc w:val="left"/>
        <w:rPr>
          <w:rFonts w:ascii="仿宋" w:hAnsi="仿宋" w:eastAsia="仿宋" w:cs="微软雅黑"/>
          <w:kern w:val="0"/>
          <w:sz w:val="32"/>
          <w:szCs w:val="32"/>
        </w:rPr>
      </w:pPr>
      <w:r>
        <w:rPr>
          <w:rFonts w:hint="eastAsia" w:ascii="仿宋" w:hAnsi="仿宋" w:eastAsia="仿宋" w:cs="微软雅黑"/>
          <w:b/>
          <w:kern w:val="0"/>
          <w:sz w:val="32"/>
          <w:szCs w:val="32"/>
        </w:rPr>
        <w:t>规范依据8：</w:t>
      </w:r>
      <w:r>
        <w:rPr>
          <w:rFonts w:ascii="仿宋" w:hAnsi="仿宋" w:eastAsia="仿宋" w:cs="微软雅黑"/>
          <w:kern w:val="0"/>
          <w:sz w:val="32"/>
          <w:szCs w:val="32"/>
        </w:rPr>
        <w:t>财政部关于印发《国际金融组织和外国政府贷款赠款项目绩效评价管理办法》的通知</w:t>
      </w:r>
      <w:r>
        <w:rPr>
          <w:rFonts w:hint="eastAsia" w:ascii="仿宋" w:hAnsi="仿宋" w:eastAsia="仿宋" w:cs="微软雅黑"/>
          <w:kern w:val="0"/>
          <w:sz w:val="32"/>
          <w:szCs w:val="32"/>
        </w:rPr>
        <w:t>（</w:t>
      </w:r>
      <w:r>
        <w:rPr>
          <w:rFonts w:ascii="仿宋" w:hAnsi="仿宋" w:eastAsia="仿宋" w:cs="微软雅黑"/>
          <w:kern w:val="0"/>
          <w:sz w:val="32"/>
          <w:szCs w:val="32"/>
        </w:rPr>
        <w:t>财国合〔2019〕18号</w:t>
      </w:r>
      <w:r>
        <w:rPr>
          <w:rFonts w:hint="eastAsia" w:ascii="仿宋" w:hAnsi="仿宋" w:eastAsia="仿宋" w:cs="微软雅黑"/>
          <w:kern w:val="0"/>
          <w:sz w:val="32"/>
          <w:szCs w:val="32"/>
        </w:rPr>
        <w:t>）</w:t>
      </w:r>
    </w:p>
    <w:p w14:paraId="68401AB8">
      <w:pPr>
        <w:ind w:firstLine="643" w:firstLineChars="200"/>
        <w:rPr>
          <w:rFonts w:ascii="仿宋" w:hAnsi="仿宋" w:eastAsia="仿宋" w:cs="微软雅黑"/>
          <w:kern w:val="0"/>
          <w:sz w:val="32"/>
          <w:szCs w:val="32"/>
        </w:rPr>
      </w:pPr>
      <w:r>
        <w:rPr>
          <w:rFonts w:ascii="仿宋" w:hAnsi="仿宋" w:eastAsia="仿宋" w:cs="微软雅黑"/>
          <w:b/>
          <w:kern w:val="0"/>
          <w:sz w:val="32"/>
          <w:szCs w:val="32"/>
        </w:rPr>
        <w:t>具体内容：</w:t>
      </w:r>
      <w:r>
        <w:rPr>
          <w:rFonts w:ascii="仿宋" w:hAnsi="仿宋" w:eastAsia="仿宋" w:cs="微软雅黑"/>
          <w:kern w:val="0"/>
          <w:sz w:val="32"/>
          <w:szCs w:val="32"/>
        </w:rPr>
        <w:t>中央单位、地方各级财政部门可以成立评价小组直接开展项目绩效评价，也可以根据需要聘请符合条件的</w:t>
      </w:r>
      <w:r>
        <w:rPr>
          <w:rFonts w:ascii="仿宋" w:hAnsi="仿宋" w:eastAsia="仿宋" w:cs="微软雅黑"/>
          <w:b/>
          <w:kern w:val="0"/>
          <w:sz w:val="32"/>
          <w:szCs w:val="32"/>
        </w:rPr>
        <w:t>专业机构或外部专家</w:t>
      </w:r>
      <w:r>
        <w:rPr>
          <w:rFonts w:ascii="仿宋" w:hAnsi="仿宋" w:eastAsia="仿宋" w:cs="微软雅黑"/>
          <w:kern w:val="0"/>
          <w:sz w:val="32"/>
          <w:szCs w:val="32"/>
        </w:rPr>
        <w:t>实施绩效评价。</w:t>
      </w:r>
      <w:r>
        <w:rPr>
          <w:rFonts w:hint="eastAsia" w:ascii="仿宋" w:hAnsi="仿宋" w:eastAsia="仿宋" w:cs="微软雅黑"/>
          <w:kern w:val="0"/>
          <w:sz w:val="32"/>
          <w:szCs w:val="32"/>
        </w:rPr>
        <w:t>[</w:t>
      </w:r>
      <w:r>
        <w:rPr>
          <w:rFonts w:ascii="仿宋" w:hAnsi="仿宋" w:eastAsia="仿宋" w:cs="微软雅黑"/>
          <w:kern w:val="0"/>
          <w:sz w:val="32"/>
          <w:szCs w:val="32"/>
        </w:rPr>
        <w:t>第十四条</w:t>
      </w:r>
      <w:r>
        <w:rPr>
          <w:rFonts w:hint="eastAsia" w:ascii="仿宋" w:hAnsi="仿宋" w:eastAsia="仿宋" w:cs="微软雅黑"/>
          <w:kern w:val="0"/>
          <w:sz w:val="32"/>
          <w:szCs w:val="32"/>
        </w:rPr>
        <w:t>第</w:t>
      </w:r>
      <w:r>
        <w:rPr>
          <w:rFonts w:ascii="仿宋" w:hAnsi="仿宋" w:eastAsia="仿宋" w:cs="微软雅黑"/>
          <w:kern w:val="0"/>
          <w:sz w:val="32"/>
          <w:szCs w:val="32"/>
        </w:rPr>
        <w:t>二</w:t>
      </w:r>
      <w:r>
        <w:rPr>
          <w:rFonts w:hint="eastAsia" w:ascii="仿宋" w:hAnsi="仿宋" w:eastAsia="仿宋" w:cs="微软雅黑"/>
          <w:kern w:val="0"/>
          <w:sz w:val="32"/>
          <w:szCs w:val="32"/>
        </w:rPr>
        <w:t>款]</w:t>
      </w:r>
    </w:p>
    <w:p w14:paraId="089C8191">
      <w:pPr>
        <w:ind w:firstLine="643" w:firstLineChars="200"/>
        <w:rPr>
          <w:rFonts w:ascii="仿宋" w:hAnsi="仿宋" w:eastAsia="仿宋" w:cs="微软雅黑"/>
          <w:kern w:val="0"/>
          <w:sz w:val="32"/>
          <w:szCs w:val="32"/>
        </w:rPr>
      </w:pPr>
      <w:r>
        <w:rPr>
          <w:rFonts w:hint="eastAsia" w:ascii="仿宋" w:hAnsi="仿宋" w:eastAsia="仿宋" w:cs="微软雅黑"/>
          <w:b/>
          <w:kern w:val="0"/>
          <w:sz w:val="32"/>
          <w:szCs w:val="32"/>
        </w:rPr>
        <w:t>工作依据9：</w:t>
      </w:r>
      <w:r>
        <w:rPr>
          <w:rFonts w:hint="eastAsia" w:ascii="仿宋" w:hAnsi="仿宋" w:eastAsia="仿宋" w:cs="微软雅黑"/>
          <w:kern w:val="0"/>
          <w:sz w:val="32"/>
          <w:szCs w:val="32"/>
        </w:rPr>
        <w:t>财政部关于贯彻落实《中共中央国务院关于全面实施预算绩效管理的意见》的通知（财预〔2018〕167号）</w:t>
      </w:r>
    </w:p>
    <w:p w14:paraId="73A19D53">
      <w:pPr>
        <w:ind w:firstLine="643" w:firstLineChars="200"/>
        <w:rPr>
          <w:rFonts w:ascii="仿宋" w:hAnsi="仿宋" w:eastAsia="仿宋" w:cs="微软雅黑"/>
          <w:kern w:val="0"/>
          <w:sz w:val="32"/>
          <w:szCs w:val="32"/>
        </w:rPr>
      </w:pPr>
      <w:r>
        <w:rPr>
          <w:rFonts w:hint="eastAsia" w:ascii="仿宋" w:hAnsi="仿宋" w:eastAsia="仿宋" w:cs="微软雅黑"/>
          <w:b/>
          <w:kern w:val="0"/>
          <w:sz w:val="32"/>
          <w:szCs w:val="32"/>
        </w:rPr>
        <w:t>具体内容：</w:t>
      </w:r>
      <w:r>
        <w:rPr>
          <w:rFonts w:hint="eastAsia" w:ascii="仿宋" w:hAnsi="仿宋" w:eastAsia="仿宋" w:cs="微软雅黑"/>
          <w:kern w:val="0"/>
          <w:sz w:val="32"/>
          <w:szCs w:val="32"/>
        </w:rPr>
        <w:t>推动社会力量有序参与。引导和规范</w:t>
      </w:r>
      <w:r>
        <w:rPr>
          <w:rFonts w:hint="eastAsia" w:ascii="仿宋" w:hAnsi="仿宋" w:eastAsia="仿宋" w:cs="微软雅黑"/>
          <w:b/>
          <w:kern w:val="0"/>
          <w:sz w:val="32"/>
          <w:szCs w:val="32"/>
        </w:rPr>
        <w:t>第三方机构</w:t>
      </w:r>
      <w:r>
        <w:rPr>
          <w:rFonts w:hint="eastAsia" w:ascii="仿宋" w:hAnsi="仿宋" w:eastAsia="仿宋" w:cs="微软雅黑"/>
          <w:kern w:val="0"/>
          <w:sz w:val="32"/>
          <w:szCs w:val="32"/>
        </w:rPr>
        <w:t>参与预算绩效管理，加强执业质量全过程跟踪和监管。搭建专家学者和社会公众参与绩效管理的途径和平台，自觉接受社会各界监督，促进形成全社会“讲绩效、用绩效、比绩效”的良好氛围。[第四条第三款]</w:t>
      </w:r>
    </w:p>
    <w:p w14:paraId="74F9BC6D">
      <w:pPr>
        <w:pStyle w:val="28"/>
        <w:spacing w:before="0" w:beforeAutospacing="0" w:after="0" w:afterAutospacing="0"/>
        <w:ind w:firstLine="643" w:firstLineChars="200"/>
        <w:rPr>
          <w:rFonts w:ascii="仿宋" w:hAnsi="仿宋" w:eastAsia="仿宋" w:cs="Helvetica"/>
          <w:sz w:val="32"/>
          <w:szCs w:val="32"/>
        </w:rPr>
      </w:pPr>
      <w:r>
        <w:rPr>
          <w:rFonts w:ascii="仿宋" w:hAnsi="仿宋" w:eastAsia="仿宋" w:cs="微软雅黑"/>
          <w:b/>
          <w:sz w:val="32"/>
          <w:szCs w:val="32"/>
        </w:rPr>
        <w:t>业务拓展建议：</w:t>
      </w:r>
      <w:r>
        <w:rPr>
          <w:rFonts w:hint="eastAsia" w:ascii="仿宋" w:hAnsi="仿宋" w:eastAsia="仿宋" w:cs="Helvetica"/>
          <w:sz w:val="32"/>
          <w:szCs w:val="32"/>
        </w:rPr>
        <w:t>1.受各级财政部门、预算部门和单位委托，参与预算绩效评价。2.</w:t>
      </w:r>
      <w:r>
        <w:rPr>
          <w:rFonts w:ascii="仿宋" w:hAnsi="仿宋" w:eastAsia="仿宋" w:cs="Helvetica"/>
          <w:sz w:val="32"/>
          <w:szCs w:val="32"/>
        </w:rPr>
        <w:t>与会计师事务所等第三方专业机构合作，共同参与</w:t>
      </w:r>
      <w:r>
        <w:rPr>
          <w:rFonts w:hint="eastAsia" w:ascii="仿宋" w:hAnsi="仿宋" w:eastAsia="仿宋" w:cs="Helvetica"/>
          <w:sz w:val="32"/>
          <w:szCs w:val="32"/>
        </w:rPr>
        <w:t>财政部门、预算部门和单位</w:t>
      </w:r>
      <w:r>
        <w:rPr>
          <w:rFonts w:ascii="仿宋" w:hAnsi="仿宋" w:eastAsia="仿宋" w:cs="Helvetica"/>
          <w:sz w:val="32"/>
          <w:szCs w:val="32"/>
        </w:rPr>
        <w:t>预算绩效评价项目。</w:t>
      </w:r>
      <w:r>
        <w:rPr>
          <w:rFonts w:hint="eastAsia" w:ascii="仿宋" w:hAnsi="仿宋" w:eastAsia="仿宋" w:cs="Helvetica"/>
          <w:sz w:val="32"/>
          <w:szCs w:val="32"/>
        </w:rPr>
        <w:t>3.协助</w:t>
      </w:r>
      <w:r>
        <w:rPr>
          <w:rFonts w:ascii="仿宋" w:hAnsi="仿宋" w:eastAsia="仿宋" w:cs="Helvetica"/>
          <w:sz w:val="32"/>
          <w:szCs w:val="32"/>
        </w:rPr>
        <w:t>有关部门进行内控体系建设，包括内部管理制度、业务流程、信息管理系统等。</w:t>
      </w:r>
      <w:r>
        <w:rPr>
          <w:rFonts w:hint="eastAsia" w:ascii="仿宋" w:hAnsi="仿宋" w:eastAsia="仿宋" w:cs="Helvetica"/>
          <w:sz w:val="32"/>
          <w:szCs w:val="32"/>
        </w:rPr>
        <w:t>4.</w:t>
      </w:r>
      <w:r>
        <w:rPr>
          <w:rFonts w:ascii="仿宋" w:hAnsi="仿宋" w:eastAsia="仿宋" w:cs="Helvetica"/>
          <w:sz w:val="32"/>
          <w:szCs w:val="32"/>
        </w:rPr>
        <w:t>提供风险评估和管理服务，帮助</w:t>
      </w:r>
      <w:r>
        <w:rPr>
          <w:rFonts w:hint="eastAsia" w:ascii="仿宋" w:hAnsi="仿宋" w:eastAsia="仿宋" w:cs="Helvetica"/>
          <w:sz w:val="32"/>
          <w:szCs w:val="32"/>
        </w:rPr>
        <w:t>有关部门</w:t>
      </w:r>
      <w:r>
        <w:rPr>
          <w:rFonts w:ascii="仿宋" w:hAnsi="仿宋" w:eastAsia="仿宋" w:cs="Helvetica"/>
          <w:sz w:val="32"/>
          <w:szCs w:val="32"/>
        </w:rPr>
        <w:t>识别可能出现的税务风险，并提供合理建议。</w:t>
      </w:r>
    </w:p>
    <w:p w14:paraId="02ED6870">
      <w:pPr>
        <w:pStyle w:val="28"/>
        <w:spacing w:before="0" w:beforeAutospacing="0" w:after="0" w:afterAutospacing="0"/>
        <w:ind w:firstLine="643" w:firstLineChars="200"/>
        <w:rPr>
          <w:rFonts w:ascii="楷体" w:hAnsi="楷体" w:eastAsia="楷体" w:cs="Helvetica"/>
          <w:b/>
          <w:sz w:val="32"/>
          <w:szCs w:val="32"/>
        </w:rPr>
      </w:pPr>
      <w:r>
        <w:rPr>
          <w:rFonts w:hint="eastAsia" w:ascii="楷体" w:hAnsi="楷体" w:eastAsia="楷体" w:cs="Helvetica"/>
          <w:b/>
          <w:sz w:val="32"/>
          <w:szCs w:val="32"/>
        </w:rPr>
        <w:t>（二）</w:t>
      </w:r>
      <w:bookmarkStart w:id="8" w:name="_Hlk174540953"/>
      <w:r>
        <w:rPr>
          <w:rFonts w:hint="eastAsia" w:ascii="楷体" w:hAnsi="楷体" w:eastAsia="楷体" w:cs="Helvetica"/>
          <w:b/>
          <w:sz w:val="32"/>
          <w:szCs w:val="32"/>
        </w:rPr>
        <w:t>受中央企业委托，提供</w:t>
      </w:r>
      <w:r>
        <w:rPr>
          <w:rFonts w:ascii="楷体" w:hAnsi="楷体" w:eastAsia="楷体" w:cs="Helvetica"/>
          <w:b/>
          <w:sz w:val="32"/>
          <w:szCs w:val="32"/>
        </w:rPr>
        <w:t>专业</w:t>
      </w:r>
      <w:r>
        <w:rPr>
          <w:rFonts w:hint="eastAsia" w:ascii="楷体" w:hAnsi="楷体" w:eastAsia="楷体" w:cs="Helvetica"/>
          <w:b/>
          <w:sz w:val="32"/>
          <w:szCs w:val="32"/>
        </w:rPr>
        <w:t>税务服务</w:t>
      </w:r>
      <w:bookmarkEnd w:id="8"/>
    </w:p>
    <w:p w14:paraId="75803F4B">
      <w:pPr>
        <w:pStyle w:val="28"/>
        <w:spacing w:before="0" w:beforeAutospacing="0" w:after="0" w:afterAutospacing="0"/>
        <w:ind w:firstLine="643" w:firstLineChars="200"/>
        <w:rPr>
          <w:rFonts w:ascii="仿宋" w:hAnsi="仿宋" w:eastAsia="仿宋" w:cs="Helvetica"/>
          <w:sz w:val="32"/>
          <w:szCs w:val="32"/>
        </w:rPr>
      </w:pPr>
      <w:r>
        <w:rPr>
          <w:rFonts w:hint="eastAsia" w:ascii="仿宋" w:hAnsi="仿宋" w:eastAsia="仿宋" w:cs="Helvetica"/>
          <w:b/>
          <w:sz w:val="32"/>
          <w:szCs w:val="32"/>
        </w:rPr>
        <w:t>规范依据：</w:t>
      </w:r>
      <w:r>
        <w:rPr>
          <w:rFonts w:hint="eastAsia" w:ascii="仿宋" w:hAnsi="仿宋" w:eastAsia="仿宋" w:cs="Helvetica"/>
          <w:sz w:val="32"/>
          <w:szCs w:val="32"/>
        </w:rPr>
        <w:t>国资委关于中央企业加快建设世界一流财务管理体系的指导意见（国资发财评规〔2022〕23号）</w:t>
      </w:r>
    </w:p>
    <w:p w14:paraId="1C18194B">
      <w:pPr>
        <w:pStyle w:val="28"/>
        <w:spacing w:before="0" w:beforeAutospacing="0" w:after="0" w:afterAutospacing="0"/>
        <w:ind w:firstLine="643" w:firstLineChars="200"/>
        <w:rPr>
          <w:rFonts w:ascii="仿宋" w:hAnsi="仿宋" w:eastAsia="仿宋" w:cs="Helvetica"/>
          <w:b/>
          <w:sz w:val="32"/>
          <w:szCs w:val="32"/>
        </w:rPr>
      </w:pPr>
      <w:r>
        <w:rPr>
          <w:rFonts w:hint="eastAsia" w:ascii="仿宋" w:hAnsi="仿宋" w:eastAsia="仿宋" w:cs="Helvetica"/>
          <w:b/>
          <w:sz w:val="32"/>
          <w:szCs w:val="32"/>
        </w:rPr>
        <w:t>具体内容：</w:t>
      </w:r>
      <w:r>
        <w:rPr>
          <w:rFonts w:ascii="仿宋" w:hAnsi="仿宋" w:eastAsia="仿宋" w:cs="Arial"/>
          <w:sz w:val="32"/>
          <w:szCs w:val="32"/>
          <w:shd w:val="clear" w:color="auto" w:fill="FFFFFF"/>
        </w:rPr>
        <w:t xml:space="preserve">强化税务管理，实现规范高效。…… </w:t>
      </w:r>
      <w:r>
        <w:rPr>
          <w:rFonts w:hint="eastAsia" w:ascii="仿宋" w:hAnsi="仿宋" w:eastAsia="仿宋" w:cs="Arial"/>
          <w:sz w:val="32"/>
          <w:szCs w:val="32"/>
          <w:shd w:val="clear" w:color="auto" w:fill="FFFFFF"/>
        </w:rPr>
        <w:t>[</w:t>
      </w:r>
      <w:r>
        <w:rPr>
          <w:rFonts w:hint="eastAsia" w:ascii="仿宋" w:hAnsi="仿宋" w:eastAsia="仿宋" w:cs="Helvetica"/>
          <w:sz w:val="32"/>
          <w:szCs w:val="32"/>
        </w:rPr>
        <w:t>第三条第四款</w:t>
      </w:r>
      <w:r>
        <w:rPr>
          <w:rFonts w:hint="eastAsia" w:ascii="仿宋" w:hAnsi="仿宋" w:eastAsia="仿宋" w:cs="Arial"/>
          <w:sz w:val="32"/>
          <w:szCs w:val="32"/>
          <w:shd w:val="clear" w:color="auto" w:fill="FFFFFF"/>
        </w:rPr>
        <w:t>]</w:t>
      </w:r>
    </w:p>
    <w:p w14:paraId="537E44C1">
      <w:pPr>
        <w:ind w:firstLine="643" w:firstLineChars="200"/>
        <w:rPr>
          <w:rFonts w:ascii="仿宋" w:hAnsi="仿宋" w:eastAsia="仿宋"/>
          <w:spacing w:val="4"/>
          <w:sz w:val="32"/>
          <w:szCs w:val="32"/>
          <w:shd w:val="clear" w:color="auto" w:fill="FFFFFF"/>
        </w:rPr>
      </w:pPr>
      <w:r>
        <w:rPr>
          <w:rFonts w:hint="eastAsia" w:ascii="仿宋" w:hAnsi="仿宋" w:eastAsia="仿宋" w:cs="Helvetica"/>
          <w:b/>
          <w:sz w:val="32"/>
          <w:szCs w:val="32"/>
        </w:rPr>
        <w:t>业务拓展建议：</w:t>
      </w:r>
      <w:r>
        <w:rPr>
          <w:rFonts w:hint="eastAsia" w:ascii="仿宋" w:hAnsi="仿宋" w:eastAsia="仿宋" w:cs="Arial"/>
          <w:sz w:val="32"/>
          <w:szCs w:val="32"/>
          <w:shd w:val="clear" w:color="auto" w:fill="FFFFFF"/>
        </w:rPr>
        <w:t>1</w:t>
      </w:r>
      <w:r>
        <w:rPr>
          <w:rFonts w:hint="eastAsia" w:ascii="仿宋" w:hAnsi="仿宋" w:eastAsia="仿宋"/>
          <w:spacing w:val="4"/>
          <w:sz w:val="32"/>
          <w:szCs w:val="32"/>
          <w:shd w:val="clear" w:color="auto" w:fill="FFFFFF"/>
        </w:rPr>
        <w:t>.受中央企业委托，提供专业税务服务。2.为</w:t>
      </w:r>
      <w:r>
        <w:rPr>
          <w:rFonts w:ascii="仿宋" w:hAnsi="仿宋" w:eastAsia="仿宋"/>
          <w:spacing w:val="4"/>
          <w:sz w:val="32"/>
          <w:szCs w:val="32"/>
          <w:shd w:val="clear" w:color="auto" w:fill="FFFFFF"/>
        </w:rPr>
        <w:t>企业</w:t>
      </w:r>
      <w:r>
        <w:rPr>
          <w:rFonts w:hint="eastAsia" w:ascii="仿宋" w:hAnsi="仿宋" w:eastAsia="仿宋"/>
          <w:spacing w:val="4"/>
          <w:sz w:val="32"/>
          <w:szCs w:val="32"/>
          <w:shd w:val="clear" w:color="auto" w:fill="FFFFFF"/>
        </w:rPr>
        <w:t>开展</w:t>
      </w:r>
      <w:r>
        <w:rPr>
          <w:rFonts w:ascii="仿宋" w:hAnsi="仿宋" w:eastAsia="仿宋"/>
          <w:spacing w:val="4"/>
          <w:sz w:val="32"/>
          <w:szCs w:val="32"/>
          <w:shd w:val="clear" w:color="auto" w:fill="FFFFFF"/>
        </w:rPr>
        <w:t>投资并购、改制重组等重大经营决策提供税务专业意见。</w:t>
      </w:r>
      <w:r>
        <w:rPr>
          <w:rFonts w:hint="eastAsia" w:ascii="仿宋" w:hAnsi="仿宋" w:eastAsia="仿宋"/>
          <w:spacing w:val="4"/>
          <w:sz w:val="32"/>
          <w:szCs w:val="32"/>
          <w:shd w:val="clear" w:color="auto" w:fill="FFFFFF"/>
        </w:rPr>
        <w:t>3.</w:t>
      </w:r>
      <w:r>
        <w:rPr>
          <w:rFonts w:ascii="仿宋" w:hAnsi="仿宋" w:eastAsia="仿宋"/>
          <w:spacing w:val="4"/>
          <w:sz w:val="32"/>
          <w:szCs w:val="32"/>
          <w:shd w:val="clear" w:color="auto" w:fill="FFFFFF"/>
        </w:rPr>
        <w:t>帮助企业加强税务风险防控，定期开展税务</w:t>
      </w:r>
      <w:r>
        <w:rPr>
          <w:rFonts w:hint="eastAsia" w:ascii="仿宋" w:hAnsi="仿宋" w:eastAsia="仿宋"/>
          <w:spacing w:val="4"/>
          <w:sz w:val="32"/>
          <w:szCs w:val="32"/>
          <w:shd w:val="clear" w:color="auto" w:fill="FFFFFF"/>
        </w:rPr>
        <w:t>体检</w:t>
      </w:r>
      <w:r>
        <w:rPr>
          <w:rFonts w:ascii="仿宋" w:hAnsi="仿宋" w:eastAsia="仿宋"/>
          <w:spacing w:val="4"/>
          <w:sz w:val="32"/>
          <w:szCs w:val="32"/>
          <w:shd w:val="clear" w:color="auto" w:fill="FFFFFF"/>
        </w:rPr>
        <w:t>。</w:t>
      </w:r>
    </w:p>
    <w:p w14:paraId="1ACE024D">
      <w:pPr>
        <w:ind w:firstLine="643" w:firstLineChars="200"/>
        <w:rPr>
          <w:rFonts w:ascii="楷体" w:hAnsi="楷体" w:eastAsia="楷体" w:cs="微软雅黑"/>
          <w:b/>
          <w:kern w:val="0"/>
          <w:sz w:val="32"/>
          <w:szCs w:val="32"/>
        </w:rPr>
      </w:pPr>
      <w:r>
        <w:rPr>
          <w:rFonts w:ascii="楷体" w:hAnsi="楷体" w:eastAsia="楷体" w:cs="微软雅黑"/>
          <w:b/>
          <w:kern w:val="0"/>
          <w:sz w:val="32"/>
          <w:szCs w:val="32"/>
        </w:rPr>
        <w:t>（</w:t>
      </w:r>
      <w:r>
        <w:rPr>
          <w:rFonts w:hint="eastAsia" w:ascii="楷体" w:hAnsi="楷体" w:eastAsia="楷体" w:cs="微软雅黑"/>
          <w:b/>
          <w:kern w:val="0"/>
          <w:sz w:val="32"/>
          <w:szCs w:val="32"/>
        </w:rPr>
        <w:t>三</w:t>
      </w:r>
      <w:r>
        <w:rPr>
          <w:rFonts w:ascii="楷体" w:hAnsi="楷体" w:eastAsia="楷体" w:cs="微软雅黑"/>
          <w:b/>
          <w:kern w:val="0"/>
          <w:sz w:val="32"/>
          <w:szCs w:val="32"/>
        </w:rPr>
        <w:t>）受群众团体委托，出具纳税审核报告</w:t>
      </w:r>
    </w:p>
    <w:p w14:paraId="2987698A">
      <w:pPr>
        <w:pStyle w:val="28"/>
        <w:spacing w:before="0" w:beforeAutospacing="0" w:after="0" w:afterAutospacing="0"/>
        <w:ind w:firstLine="643" w:firstLineChars="200"/>
        <w:jc w:val="both"/>
        <w:rPr>
          <w:rFonts w:ascii="仿宋" w:hAnsi="仿宋" w:eastAsia="仿宋" w:cs="微软雅黑"/>
          <w:sz w:val="32"/>
          <w:szCs w:val="32"/>
        </w:rPr>
      </w:pPr>
      <w:r>
        <w:rPr>
          <w:rFonts w:hint="eastAsia" w:ascii="仿宋" w:hAnsi="仿宋" w:eastAsia="仿宋" w:cs="微软雅黑"/>
          <w:b/>
          <w:sz w:val="32"/>
          <w:szCs w:val="32"/>
        </w:rPr>
        <w:t>规范依据：</w:t>
      </w:r>
      <w:r>
        <w:rPr>
          <w:rFonts w:hint="eastAsia" w:ascii="仿宋" w:hAnsi="仿宋" w:eastAsia="仿宋" w:cs="微软雅黑"/>
          <w:sz w:val="32"/>
          <w:szCs w:val="32"/>
        </w:rPr>
        <w:t>财政部、税务总局《关于通过公益性群众团体的公益性捐赠税前扣除有关事项的公告》（财政部、税务总局公告2021年第20号）</w:t>
      </w:r>
    </w:p>
    <w:p w14:paraId="6976CE6B">
      <w:pPr>
        <w:pStyle w:val="28"/>
        <w:spacing w:before="0" w:beforeAutospacing="0" w:after="0" w:afterAutospacing="0"/>
        <w:ind w:firstLine="643" w:firstLineChars="200"/>
        <w:jc w:val="both"/>
        <w:rPr>
          <w:rFonts w:ascii="仿宋" w:hAnsi="仿宋" w:eastAsia="仿宋" w:cs="微软雅黑"/>
          <w:sz w:val="32"/>
          <w:szCs w:val="32"/>
        </w:rPr>
      </w:pPr>
      <w:r>
        <w:rPr>
          <w:rFonts w:hint="eastAsia" w:ascii="仿宋" w:hAnsi="仿宋" w:eastAsia="仿宋" w:cs="微软雅黑"/>
          <w:b/>
          <w:sz w:val="32"/>
          <w:szCs w:val="32"/>
        </w:rPr>
        <w:t>具体内容：</w:t>
      </w:r>
      <w:r>
        <w:rPr>
          <w:rFonts w:hint="eastAsia" w:ascii="仿宋" w:hAnsi="仿宋" w:eastAsia="仿宋" w:cs="微软雅黑"/>
          <w:sz w:val="32"/>
          <w:szCs w:val="32"/>
        </w:rPr>
        <w:t>申报前3个年度的受赠资金来源、使用情况，财务报告，公益活动的明细，注册会计师的审计报告或注册会计师、</w:t>
      </w:r>
      <w:r>
        <w:rPr>
          <w:rFonts w:hint="eastAsia" w:ascii="仿宋" w:hAnsi="仿宋" w:eastAsia="仿宋" w:cs="微软雅黑"/>
          <w:b/>
          <w:sz w:val="32"/>
          <w:szCs w:val="32"/>
        </w:rPr>
        <w:t>（注册）税务师</w:t>
      </w:r>
      <w:r>
        <w:rPr>
          <w:rFonts w:hint="eastAsia" w:ascii="仿宋" w:hAnsi="仿宋" w:eastAsia="仿宋" w:cs="微软雅黑"/>
          <w:sz w:val="32"/>
          <w:szCs w:val="32"/>
        </w:rPr>
        <w:t>、律师的纳税审核报告（或鉴证报告）。[第六条第四款]</w:t>
      </w:r>
    </w:p>
    <w:p w14:paraId="53589C2E">
      <w:pPr>
        <w:pStyle w:val="28"/>
        <w:spacing w:before="0" w:beforeAutospacing="0" w:after="0" w:afterAutospacing="0"/>
        <w:ind w:firstLine="643" w:firstLineChars="200"/>
        <w:rPr>
          <w:rFonts w:ascii="仿宋" w:hAnsi="仿宋" w:eastAsia="仿宋" w:cs="Helvetica"/>
          <w:b/>
          <w:sz w:val="32"/>
          <w:szCs w:val="32"/>
        </w:rPr>
      </w:pPr>
      <w:r>
        <w:rPr>
          <w:rFonts w:ascii="仿宋" w:hAnsi="仿宋" w:eastAsia="仿宋" w:cs="Helvetica"/>
          <w:b/>
          <w:sz w:val="32"/>
          <w:szCs w:val="32"/>
        </w:rPr>
        <w:t>业务拓展建议：</w:t>
      </w:r>
      <w:r>
        <w:rPr>
          <w:rFonts w:hint="eastAsia" w:ascii="仿宋" w:hAnsi="仿宋" w:eastAsia="仿宋" w:cs="微软雅黑"/>
          <w:sz w:val="32"/>
          <w:szCs w:val="32"/>
        </w:rPr>
        <w:t>1.受公益性群众团体委托，出具公益性捐赠相关情况的纳税审核报告(或鉴证报告)。2.</w:t>
      </w:r>
      <w:r>
        <w:rPr>
          <w:rFonts w:ascii="仿宋" w:hAnsi="仿宋" w:eastAsia="仿宋" w:cs="微软雅黑"/>
          <w:sz w:val="32"/>
          <w:szCs w:val="32"/>
        </w:rPr>
        <w:t>为群众团体</w:t>
      </w:r>
      <w:r>
        <w:rPr>
          <w:rFonts w:hint="eastAsia" w:ascii="仿宋" w:hAnsi="仿宋" w:eastAsia="仿宋" w:cs="微软雅黑"/>
          <w:sz w:val="32"/>
          <w:szCs w:val="32"/>
        </w:rPr>
        <w:t>公益性捐赠提供专业的税务咨询服务，帮助</w:t>
      </w:r>
      <w:r>
        <w:rPr>
          <w:rFonts w:hint="eastAsia" w:ascii="仿宋" w:hAnsi="仿宋" w:eastAsia="仿宋"/>
          <w:sz w:val="32"/>
          <w:szCs w:val="32"/>
        </w:rPr>
        <w:t>构建和优化纳税风险管理框架。</w:t>
      </w:r>
    </w:p>
    <w:p w14:paraId="65BCDA99">
      <w:pPr>
        <w:ind w:firstLine="643" w:firstLineChars="200"/>
        <w:rPr>
          <w:rFonts w:ascii="楷体" w:hAnsi="楷体" w:eastAsia="楷体" w:cs="微软雅黑"/>
          <w:b/>
          <w:kern w:val="0"/>
          <w:sz w:val="32"/>
          <w:szCs w:val="32"/>
        </w:rPr>
      </w:pPr>
      <w:r>
        <w:rPr>
          <w:rFonts w:hint="eastAsia" w:ascii="楷体" w:hAnsi="楷体" w:eastAsia="楷体" w:cs="微软雅黑"/>
          <w:b/>
          <w:kern w:val="0"/>
          <w:sz w:val="32"/>
          <w:szCs w:val="32"/>
        </w:rPr>
        <w:t>（四）受证券公司、基金公司委托，提供涉税专业服务</w:t>
      </w:r>
    </w:p>
    <w:p w14:paraId="76718DE1">
      <w:pPr>
        <w:pStyle w:val="28"/>
        <w:spacing w:before="0" w:beforeAutospacing="0" w:after="0" w:afterAutospacing="0"/>
        <w:ind w:firstLine="643" w:firstLineChars="200"/>
        <w:jc w:val="both"/>
        <w:rPr>
          <w:rFonts w:ascii="仿宋" w:hAnsi="仿宋" w:eastAsia="仿宋" w:cs="微软雅黑"/>
          <w:sz w:val="32"/>
          <w:szCs w:val="32"/>
        </w:rPr>
      </w:pPr>
      <w:r>
        <w:rPr>
          <w:rFonts w:hint="eastAsia" w:ascii="仿宋" w:hAnsi="仿宋" w:eastAsia="仿宋" w:cs="微软雅黑"/>
          <w:b/>
          <w:sz w:val="32"/>
          <w:szCs w:val="32"/>
        </w:rPr>
        <w:t>规范依据1：</w:t>
      </w:r>
      <w:r>
        <w:rPr>
          <w:rFonts w:hint="eastAsia" w:ascii="仿宋" w:hAnsi="仿宋" w:eastAsia="仿宋" w:cs="微软雅黑"/>
          <w:sz w:val="32"/>
          <w:szCs w:val="32"/>
        </w:rPr>
        <w:t>《中国证监会、国家发展改革委关于推进基础设施领域不动产投资信托基金(REITs)试点相关工作的通知》（证监发〔2020〕40号）</w:t>
      </w:r>
    </w:p>
    <w:p w14:paraId="642EE0DF">
      <w:pPr>
        <w:ind w:right="284" w:firstLine="643" w:firstLineChars="200"/>
        <w:rPr>
          <w:rFonts w:ascii="仿宋" w:hAnsi="仿宋" w:eastAsia="仿宋" w:cs="微软雅黑"/>
          <w:kern w:val="0"/>
          <w:sz w:val="32"/>
          <w:szCs w:val="32"/>
        </w:rPr>
      </w:pPr>
      <w:r>
        <w:rPr>
          <w:rFonts w:hint="eastAsia" w:ascii="仿宋" w:hAnsi="仿宋" w:eastAsia="仿宋" w:cs="微软雅黑"/>
          <w:b/>
          <w:kern w:val="0"/>
          <w:sz w:val="32"/>
          <w:szCs w:val="32"/>
        </w:rPr>
        <w:t>具体内容：</w:t>
      </w:r>
      <w:r>
        <w:rPr>
          <w:rFonts w:hint="eastAsia" w:ascii="仿宋" w:hAnsi="仿宋" w:eastAsia="仿宋" w:cs="微软雅黑"/>
          <w:kern w:val="0"/>
          <w:sz w:val="32"/>
          <w:szCs w:val="32"/>
        </w:rPr>
        <w:t>强化机构主体责任，推动归位尽责。明确管理人、托管人及</w:t>
      </w:r>
      <w:r>
        <w:rPr>
          <w:rFonts w:hint="eastAsia" w:ascii="仿宋" w:hAnsi="仿宋" w:eastAsia="仿宋" w:cs="微软雅黑"/>
          <w:b/>
          <w:kern w:val="0"/>
          <w:sz w:val="32"/>
          <w:szCs w:val="32"/>
        </w:rPr>
        <w:t>相关中介机构</w:t>
      </w:r>
      <w:r>
        <w:rPr>
          <w:rFonts w:hint="eastAsia" w:ascii="仿宋" w:hAnsi="仿宋" w:eastAsia="仿宋" w:cs="微软雅黑"/>
          <w:kern w:val="0"/>
          <w:sz w:val="32"/>
          <w:szCs w:val="32"/>
        </w:rPr>
        <w:t>的职责边界，加强监督管理，严格落实诚实守信、勤勉尽责义务，推动相关参与主体归位尽责。[第二条第五款]</w:t>
      </w:r>
    </w:p>
    <w:p w14:paraId="22810139">
      <w:pPr>
        <w:ind w:right="284" w:firstLine="640" w:firstLineChars="200"/>
        <w:rPr>
          <w:rFonts w:ascii="仿宋" w:hAnsi="仿宋" w:eastAsia="仿宋" w:cs="微软雅黑"/>
          <w:kern w:val="0"/>
          <w:sz w:val="32"/>
          <w:szCs w:val="32"/>
        </w:rPr>
      </w:pPr>
      <w:r>
        <w:rPr>
          <w:rFonts w:hint="eastAsia" w:ascii="仿宋" w:hAnsi="仿宋" w:eastAsia="仿宋" w:cs="微软雅黑"/>
          <w:kern w:val="0"/>
          <w:sz w:val="32"/>
          <w:szCs w:val="32"/>
        </w:rPr>
        <w:t>中国证监会各派出机构、沪深证券交易所、中国证券业协会、中国证券投资基金业协会等有关单位要抓紧建立基础设施资产支持证券受理、审核、备案、信息披露和持续监管的工作机制，做好投资者教育和市场培育，参照公开发行证券相关要求强化对基础设施资产支持证券发行等环节相关参与主体的监督管理，压实</w:t>
      </w:r>
      <w:r>
        <w:rPr>
          <w:rFonts w:hint="eastAsia" w:ascii="仿宋" w:hAnsi="仿宋" w:eastAsia="仿宋" w:cs="微软雅黑"/>
          <w:b/>
          <w:kern w:val="0"/>
          <w:sz w:val="32"/>
          <w:szCs w:val="32"/>
        </w:rPr>
        <w:t>中介机构</w:t>
      </w:r>
      <w:r>
        <w:rPr>
          <w:rFonts w:hint="eastAsia" w:ascii="仿宋" w:hAnsi="仿宋" w:eastAsia="仿宋" w:cs="微软雅黑"/>
          <w:kern w:val="0"/>
          <w:sz w:val="32"/>
          <w:szCs w:val="32"/>
        </w:rPr>
        <w:t>责任，落实各项监管要求。[第四条第三款]</w:t>
      </w:r>
    </w:p>
    <w:p w14:paraId="510453BD">
      <w:pPr>
        <w:pStyle w:val="28"/>
        <w:spacing w:before="0" w:beforeAutospacing="0" w:after="0" w:afterAutospacing="0"/>
        <w:ind w:firstLine="643" w:firstLineChars="200"/>
        <w:rPr>
          <w:rFonts w:ascii="仿宋" w:hAnsi="仿宋" w:eastAsia="仿宋" w:cs="微软雅黑"/>
          <w:sz w:val="32"/>
          <w:szCs w:val="32"/>
        </w:rPr>
      </w:pPr>
      <w:r>
        <w:rPr>
          <w:rFonts w:hint="eastAsia" w:ascii="仿宋" w:hAnsi="仿宋" w:eastAsia="仿宋" w:cs="微软雅黑"/>
          <w:b/>
          <w:sz w:val="32"/>
          <w:szCs w:val="32"/>
        </w:rPr>
        <w:t>工作依据</w:t>
      </w:r>
      <w:r>
        <w:rPr>
          <w:rFonts w:ascii="仿宋" w:hAnsi="仿宋" w:eastAsia="仿宋" w:cs="微软雅黑"/>
          <w:b/>
          <w:sz w:val="32"/>
          <w:szCs w:val="32"/>
        </w:rPr>
        <w:t>2</w:t>
      </w:r>
      <w:r>
        <w:rPr>
          <w:rFonts w:hint="eastAsia" w:ascii="仿宋" w:hAnsi="仿宋" w:eastAsia="仿宋" w:cs="微软雅黑"/>
          <w:b/>
          <w:sz w:val="32"/>
          <w:szCs w:val="32"/>
        </w:rPr>
        <w:t>：</w:t>
      </w:r>
      <w:r>
        <w:rPr>
          <w:rFonts w:hint="eastAsia" w:ascii="仿宋" w:hAnsi="仿宋" w:eastAsia="仿宋" w:cs="微软雅黑"/>
          <w:sz w:val="32"/>
          <w:szCs w:val="32"/>
        </w:rPr>
        <w:t>《国家发展改革委关于全面推动基础设施领域不动产投资信托基金（REITs）项目常态化发行的通知》（发改投资〔2024〕1014号）（附件：基础设施领域不动产投资信托基金（REITs）项目申报要求）</w:t>
      </w:r>
    </w:p>
    <w:p w14:paraId="3EB52784">
      <w:pPr>
        <w:ind w:firstLine="643" w:firstLineChars="200"/>
        <w:rPr>
          <w:rFonts w:ascii="仿宋" w:hAnsi="仿宋" w:eastAsia="仿宋" w:cs="微软雅黑"/>
          <w:bCs/>
          <w:sz w:val="32"/>
          <w:szCs w:val="32"/>
        </w:rPr>
      </w:pPr>
      <w:r>
        <w:rPr>
          <w:rFonts w:hint="eastAsia" w:ascii="仿宋" w:hAnsi="仿宋" w:eastAsia="仿宋" w:cs="微软雅黑"/>
          <w:b/>
          <w:kern w:val="0"/>
          <w:sz w:val="32"/>
          <w:szCs w:val="32"/>
        </w:rPr>
        <w:t>具体内容：</w:t>
      </w:r>
      <w:r>
        <w:rPr>
          <w:rFonts w:hint="eastAsia" w:ascii="仿宋" w:hAnsi="仿宋" w:eastAsia="仿宋" w:cs="微软雅黑"/>
          <w:bCs/>
          <w:sz w:val="32"/>
          <w:szCs w:val="32"/>
        </w:rPr>
        <w:t>中介机构符合执业要求。为项目提供服务的律师事务所，会计师事务所、资产评估机构、</w:t>
      </w:r>
      <w:r>
        <w:rPr>
          <w:rFonts w:hint="eastAsia" w:ascii="仿宋" w:hAnsi="仿宋" w:eastAsia="仿宋" w:cs="微软雅黑"/>
          <w:b/>
          <w:bCs/>
          <w:sz w:val="32"/>
          <w:szCs w:val="32"/>
        </w:rPr>
        <w:t>税务咨询机构</w:t>
      </w:r>
      <w:r>
        <w:rPr>
          <w:rFonts w:hint="eastAsia" w:ascii="仿宋" w:hAnsi="仿宋" w:eastAsia="仿宋" w:cs="微软雅黑"/>
          <w:bCs/>
          <w:sz w:val="32"/>
          <w:szCs w:val="32"/>
        </w:rPr>
        <w:t>以及担任财务顾问的证券公司等中介机构，向国家发展改革委报送时不在严重失信主体名单内，不在被行业主管部门要求暂停执业期间，不在被有关监管机构要求暂停开展证券业务或基础设施REITS 业务期间。[附件</w:t>
      </w:r>
      <w:r>
        <w:rPr>
          <w:rFonts w:hint="eastAsia" w:ascii="仿宋" w:hAnsi="仿宋" w:eastAsia="仿宋" w:cs="微软雅黑"/>
          <w:sz w:val="32"/>
          <w:szCs w:val="32"/>
        </w:rPr>
        <w:t>第二条第六款</w:t>
      </w:r>
      <w:r>
        <w:rPr>
          <w:rFonts w:hint="eastAsia" w:ascii="仿宋" w:hAnsi="仿宋" w:eastAsia="仿宋" w:cs="微软雅黑"/>
          <w:bCs/>
          <w:sz w:val="32"/>
          <w:szCs w:val="32"/>
        </w:rPr>
        <w:t>]</w:t>
      </w:r>
    </w:p>
    <w:p w14:paraId="38FA6549">
      <w:pPr>
        <w:ind w:firstLine="640" w:firstLineChars="200"/>
        <w:rPr>
          <w:rFonts w:ascii="仿宋" w:hAnsi="仿宋" w:eastAsia="仿宋" w:cs="微软雅黑"/>
          <w:sz w:val="32"/>
          <w:szCs w:val="32"/>
        </w:rPr>
      </w:pPr>
      <w:r>
        <w:rPr>
          <w:rFonts w:hint="eastAsia" w:ascii="仿宋" w:hAnsi="仿宋" w:eastAsia="仿宋" w:cs="微软雅黑"/>
          <w:sz w:val="32"/>
          <w:szCs w:val="32"/>
        </w:rPr>
        <w:t>确保申报材料真实客观。发起人(原始权益人)和基金管理人要对申报材料的真实性、有效性、合规性、完备性负责。</w:t>
      </w:r>
      <w:r>
        <w:rPr>
          <w:rFonts w:hint="eastAsia" w:ascii="仿宋" w:hAnsi="仿宋" w:eastAsia="仿宋" w:cs="微软雅黑"/>
          <w:b/>
          <w:sz w:val="32"/>
          <w:szCs w:val="32"/>
        </w:rPr>
        <w:t>相关中介机构</w:t>
      </w:r>
      <w:r>
        <w:rPr>
          <w:rFonts w:hint="eastAsia" w:ascii="仿宋" w:hAnsi="仿宋" w:eastAsia="仿宋" w:cs="微软雅黑"/>
          <w:sz w:val="32"/>
          <w:szCs w:val="32"/>
        </w:rPr>
        <w:t>要对其出具材料的真实性、有效性、合规性、完备性负责，并出具相关承诺。[附件第五条第二款]</w:t>
      </w:r>
    </w:p>
    <w:p w14:paraId="0D763808">
      <w:pPr>
        <w:pStyle w:val="28"/>
        <w:spacing w:before="0" w:beforeAutospacing="0" w:after="0" w:afterAutospacing="0"/>
        <w:ind w:firstLine="643" w:firstLineChars="200"/>
        <w:rPr>
          <w:rFonts w:ascii="仿宋" w:hAnsi="仿宋" w:eastAsia="仿宋" w:cs="微软雅黑"/>
          <w:sz w:val="32"/>
          <w:szCs w:val="32"/>
        </w:rPr>
      </w:pPr>
      <w:r>
        <w:rPr>
          <w:rFonts w:hint="eastAsia" w:ascii="仿宋" w:hAnsi="仿宋" w:eastAsia="仿宋" w:cs="微软雅黑"/>
          <w:b/>
          <w:sz w:val="32"/>
          <w:szCs w:val="32"/>
        </w:rPr>
        <w:t>工作依据</w:t>
      </w:r>
      <w:r>
        <w:rPr>
          <w:rFonts w:ascii="仿宋" w:hAnsi="仿宋" w:eastAsia="仿宋" w:cs="微软雅黑"/>
          <w:b/>
          <w:sz w:val="32"/>
          <w:szCs w:val="32"/>
        </w:rPr>
        <w:t>3</w:t>
      </w:r>
      <w:r>
        <w:rPr>
          <w:rFonts w:hint="eastAsia" w:ascii="仿宋" w:hAnsi="仿宋" w:eastAsia="仿宋" w:cs="微软雅黑"/>
          <w:b/>
          <w:sz w:val="32"/>
          <w:szCs w:val="32"/>
        </w:rPr>
        <w:t>：</w:t>
      </w:r>
      <w:r>
        <w:rPr>
          <w:rFonts w:hint="eastAsia" w:ascii="仿宋" w:hAnsi="仿宋" w:eastAsia="仿宋" w:cs="微软雅黑"/>
          <w:sz w:val="32"/>
          <w:szCs w:val="32"/>
        </w:rPr>
        <w:t>《国家发展改革委关于进一步做好基础设施领域不动产投资信托基金（REITs）试点工作的通知》（发改投资〔2021〕958号）（附件：基础设施领域不动产投资信托基金（REITs）试点项目申报要求）</w:t>
      </w:r>
    </w:p>
    <w:p w14:paraId="52E8AB02">
      <w:pPr>
        <w:ind w:firstLine="643" w:firstLineChars="200"/>
        <w:rPr>
          <w:rFonts w:ascii="仿宋" w:hAnsi="仿宋" w:eastAsia="仿宋" w:cs="微软雅黑"/>
          <w:bCs/>
          <w:kern w:val="0"/>
          <w:sz w:val="32"/>
          <w:szCs w:val="32"/>
        </w:rPr>
      </w:pPr>
      <w:r>
        <w:rPr>
          <w:rFonts w:hint="eastAsia" w:ascii="仿宋" w:hAnsi="仿宋" w:eastAsia="仿宋" w:cs="微软雅黑"/>
          <w:b/>
          <w:kern w:val="0"/>
          <w:sz w:val="32"/>
          <w:szCs w:val="32"/>
        </w:rPr>
        <w:t>具体内容：</w:t>
      </w:r>
      <w:r>
        <w:rPr>
          <w:rFonts w:hint="eastAsia" w:ascii="仿宋" w:hAnsi="仿宋" w:eastAsia="仿宋" w:cs="微软雅黑"/>
          <w:bCs/>
          <w:kern w:val="0"/>
          <w:sz w:val="32"/>
          <w:szCs w:val="32"/>
        </w:rPr>
        <w:t>为项目申报提供服务的中介机构，包括法律顾问、财务顾问、评估机构、</w:t>
      </w:r>
      <w:r>
        <w:rPr>
          <w:rFonts w:hint="eastAsia" w:ascii="仿宋" w:hAnsi="仿宋" w:eastAsia="仿宋" w:cs="微软雅黑"/>
          <w:b/>
          <w:kern w:val="0"/>
          <w:sz w:val="32"/>
          <w:szCs w:val="32"/>
        </w:rPr>
        <w:t>税务咨询顾问</w:t>
      </w:r>
      <w:r>
        <w:rPr>
          <w:rFonts w:hint="eastAsia" w:ascii="仿宋" w:hAnsi="仿宋" w:eastAsia="仿宋" w:cs="微软雅黑"/>
          <w:bCs/>
          <w:kern w:val="0"/>
          <w:sz w:val="32"/>
          <w:szCs w:val="32"/>
        </w:rPr>
        <w:t>、审计机构等，应依法依规履行相关职责，保证出具的相关材料科学、合规、真实、全面、准确。[附件第六条第十一款]</w:t>
      </w:r>
    </w:p>
    <w:p w14:paraId="47985BCB">
      <w:pPr>
        <w:pStyle w:val="28"/>
        <w:spacing w:before="0" w:beforeAutospacing="0" w:after="0" w:afterAutospacing="0"/>
        <w:ind w:firstLine="643" w:firstLineChars="200"/>
        <w:rPr>
          <w:rFonts w:ascii="仿宋" w:hAnsi="仿宋" w:eastAsia="仿宋" w:cs="Arial"/>
          <w:sz w:val="32"/>
          <w:szCs w:val="32"/>
          <w:shd w:val="clear" w:color="auto" w:fill="FFFFFF"/>
        </w:rPr>
      </w:pPr>
      <w:r>
        <w:rPr>
          <w:rFonts w:hint="eastAsia" w:ascii="仿宋" w:hAnsi="仿宋" w:eastAsia="仿宋" w:cs="Helvetica"/>
          <w:b/>
          <w:sz w:val="32"/>
          <w:szCs w:val="32"/>
        </w:rPr>
        <w:t>业务拓展建议：</w:t>
      </w:r>
      <w:r>
        <w:rPr>
          <w:rFonts w:hint="eastAsia" w:ascii="仿宋" w:hAnsi="仿宋" w:eastAsia="仿宋" w:cs="Helvetica"/>
          <w:sz w:val="32"/>
          <w:szCs w:val="32"/>
        </w:rPr>
        <w:t>1.</w:t>
      </w:r>
      <w:r>
        <w:rPr>
          <w:rFonts w:hint="eastAsia" w:ascii="仿宋" w:hAnsi="仿宋" w:eastAsia="仿宋" w:cs="Arial"/>
          <w:sz w:val="32"/>
          <w:szCs w:val="32"/>
          <w:shd w:val="clear" w:color="auto" w:fill="FFFFFF"/>
        </w:rPr>
        <w:t>强化</w:t>
      </w:r>
      <w:r>
        <w:rPr>
          <w:rFonts w:ascii="仿宋" w:hAnsi="仿宋" w:eastAsia="仿宋" w:cs="Arial"/>
          <w:sz w:val="32"/>
          <w:szCs w:val="32"/>
          <w:shd w:val="clear" w:color="auto" w:fill="FFFFFF"/>
        </w:rPr>
        <w:t>与</w:t>
      </w:r>
      <w:r>
        <w:rPr>
          <w:rFonts w:hint="eastAsia" w:ascii="仿宋" w:hAnsi="仿宋" w:eastAsia="仿宋" w:cs="微软雅黑"/>
          <w:sz w:val="32"/>
          <w:szCs w:val="32"/>
        </w:rPr>
        <w:t>基金管理人（基金公司）、财务顾问（证券公司）、</w:t>
      </w:r>
      <w:r>
        <w:rPr>
          <w:rFonts w:ascii="仿宋" w:hAnsi="仿宋" w:eastAsia="仿宋" w:cs="Arial"/>
          <w:sz w:val="32"/>
          <w:szCs w:val="32"/>
          <w:shd w:val="clear" w:color="auto" w:fill="FFFFFF"/>
        </w:rPr>
        <w:t>注册会计师、律师、资产评估师等其他专业人士合作，提供</w:t>
      </w:r>
      <w:r>
        <w:rPr>
          <w:rFonts w:hint="eastAsia" w:ascii="仿宋" w:hAnsi="仿宋" w:eastAsia="仿宋" w:cs="Arial"/>
          <w:sz w:val="32"/>
          <w:szCs w:val="32"/>
          <w:shd w:val="clear" w:color="auto" w:fill="FFFFFF"/>
        </w:rPr>
        <w:t>涉税专业</w:t>
      </w:r>
      <w:r>
        <w:rPr>
          <w:rFonts w:ascii="仿宋" w:hAnsi="仿宋" w:eastAsia="仿宋" w:cs="Arial"/>
          <w:sz w:val="32"/>
          <w:szCs w:val="32"/>
          <w:shd w:val="clear" w:color="auto" w:fill="FFFFFF"/>
        </w:rPr>
        <w:t>服务。</w:t>
      </w:r>
      <w:r>
        <w:rPr>
          <w:rFonts w:hint="eastAsia" w:ascii="仿宋" w:hAnsi="仿宋" w:eastAsia="仿宋" w:cs="Helvetica"/>
          <w:sz w:val="32"/>
          <w:szCs w:val="32"/>
        </w:rPr>
        <w:t>2.</w:t>
      </w:r>
      <w:r>
        <w:rPr>
          <w:rFonts w:ascii="仿宋" w:hAnsi="仿宋" w:eastAsia="仿宋" w:cs="Helvetica"/>
          <w:sz w:val="32"/>
          <w:szCs w:val="32"/>
        </w:rPr>
        <w:t>参与REITs产品结构设计，提供税务优化方案，帮助</w:t>
      </w:r>
      <w:r>
        <w:rPr>
          <w:rFonts w:hint="eastAsia" w:ascii="仿宋" w:hAnsi="仿宋" w:eastAsia="仿宋" w:cs="Helvetica"/>
          <w:sz w:val="32"/>
          <w:szCs w:val="32"/>
        </w:rPr>
        <w:t>纳税人</w:t>
      </w:r>
      <w:r>
        <w:rPr>
          <w:rFonts w:ascii="仿宋" w:hAnsi="仿宋" w:eastAsia="仿宋" w:cs="Helvetica"/>
          <w:sz w:val="32"/>
          <w:szCs w:val="32"/>
        </w:rPr>
        <w:t>降本</w:t>
      </w:r>
      <w:r>
        <w:rPr>
          <w:rFonts w:hint="eastAsia" w:ascii="仿宋" w:hAnsi="仿宋" w:eastAsia="仿宋" w:cs="Helvetica"/>
          <w:sz w:val="32"/>
          <w:szCs w:val="32"/>
        </w:rPr>
        <w:t>增效</w:t>
      </w:r>
      <w:r>
        <w:rPr>
          <w:rFonts w:ascii="仿宋" w:hAnsi="仿宋" w:eastAsia="仿宋" w:cs="Helvetica"/>
          <w:sz w:val="32"/>
          <w:szCs w:val="32"/>
        </w:rPr>
        <w:t>。</w:t>
      </w:r>
      <w:r>
        <w:rPr>
          <w:rFonts w:hint="eastAsia" w:ascii="仿宋" w:hAnsi="仿宋" w:eastAsia="仿宋" w:cs="Helvetica"/>
          <w:sz w:val="32"/>
          <w:szCs w:val="32"/>
        </w:rPr>
        <w:t>3.</w:t>
      </w:r>
      <w:r>
        <w:rPr>
          <w:rFonts w:ascii="仿宋" w:hAnsi="仿宋" w:eastAsia="仿宋" w:cs="Helvetica"/>
          <w:sz w:val="32"/>
          <w:szCs w:val="32"/>
        </w:rPr>
        <w:t>为基础设施项目提供税务咨询和</w:t>
      </w:r>
      <w:r>
        <w:rPr>
          <w:rFonts w:hint="eastAsia" w:ascii="仿宋" w:hAnsi="仿宋" w:eastAsia="仿宋" w:cs="Helvetica"/>
          <w:sz w:val="32"/>
          <w:szCs w:val="32"/>
        </w:rPr>
        <w:t>税务策</w:t>
      </w:r>
      <w:r>
        <w:rPr>
          <w:rFonts w:ascii="仿宋" w:hAnsi="仿宋" w:eastAsia="仿宋" w:cs="Helvetica"/>
          <w:sz w:val="32"/>
          <w:szCs w:val="32"/>
        </w:rPr>
        <w:t>划服务。</w:t>
      </w:r>
    </w:p>
    <w:p w14:paraId="12D2868D">
      <w:pPr>
        <w:ind w:firstLine="643" w:firstLineChars="200"/>
        <w:rPr>
          <w:rFonts w:ascii="楷体" w:hAnsi="楷体" w:eastAsia="楷体"/>
          <w:b/>
          <w:sz w:val="32"/>
          <w:szCs w:val="32"/>
        </w:rPr>
      </w:pPr>
      <w:r>
        <w:rPr>
          <w:rFonts w:hint="eastAsia" w:ascii="楷体" w:hAnsi="楷体" w:eastAsia="楷体"/>
          <w:b/>
          <w:sz w:val="32"/>
          <w:szCs w:val="32"/>
        </w:rPr>
        <w:t>（五）受企业委托，制定混合所有制改革方案</w:t>
      </w:r>
    </w:p>
    <w:p w14:paraId="7E9DF78B">
      <w:pPr>
        <w:widowControl/>
        <w:shd w:val="clear" w:color="auto" w:fill="FFFFFF"/>
        <w:ind w:firstLine="643" w:firstLineChars="200"/>
        <w:rPr>
          <w:rFonts w:ascii="仿宋" w:hAnsi="仿宋" w:eastAsia="仿宋" w:cs="Helvetica"/>
          <w:kern w:val="0"/>
          <w:sz w:val="32"/>
          <w:szCs w:val="32"/>
        </w:rPr>
      </w:pPr>
      <w:r>
        <w:rPr>
          <w:rFonts w:hint="eastAsia" w:ascii="仿宋" w:hAnsi="仿宋" w:eastAsia="仿宋" w:cs="Helvetica"/>
          <w:b/>
          <w:bCs/>
          <w:kern w:val="0"/>
          <w:sz w:val="32"/>
          <w:szCs w:val="32"/>
        </w:rPr>
        <w:t>规范依据：</w:t>
      </w:r>
      <w:r>
        <w:rPr>
          <w:rFonts w:hint="eastAsia" w:ascii="仿宋" w:hAnsi="仿宋" w:eastAsia="仿宋" w:cs="Helvetica"/>
          <w:kern w:val="0"/>
          <w:sz w:val="32"/>
          <w:szCs w:val="32"/>
        </w:rPr>
        <w:t>国资委关于印发《中央企业混合所有制改革操作指引》的通知（国资产权〔2019〕653号）</w:t>
      </w:r>
    </w:p>
    <w:p w14:paraId="3480F947">
      <w:pPr>
        <w:ind w:firstLine="643" w:firstLineChars="200"/>
        <w:rPr>
          <w:rFonts w:ascii="仿宋" w:hAnsi="仿宋" w:eastAsia="仿宋" w:cs="Helvetica"/>
          <w:kern w:val="0"/>
          <w:sz w:val="32"/>
          <w:szCs w:val="32"/>
        </w:rPr>
      </w:pPr>
      <w:r>
        <w:rPr>
          <w:rFonts w:hint="eastAsia" w:ascii="仿宋" w:hAnsi="仿宋" w:eastAsia="仿宋" w:cs="Helvetica"/>
          <w:b/>
          <w:bCs/>
          <w:kern w:val="0"/>
          <w:sz w:val="32"/>
          <w:szCs w:val="32"/>
        </w:rPr>
        <w:t>具体内容：</w:t>
      </w:r>
      <w:r>
        <w:rPr>
          <w:rFonts w:hint="eastAsia" w:ascii="仿宋" w:hAnsi="仿宋" w:eastAsia="仿宋" w:cs="Helvetica"/>
          <w:kern w:val="0"/>
          <w:sz w:val="32"/>
          <w:szCs w:val="32"/>
        </w:rPr>
        <w:t>制定混合所有制改革方案。要科学设计混合所有制企业股权结构，充分向非公有资本释放股权，尽可能使非公有资本能够派出董事或监事；科学设计改革路径，用好用足国家相关税收优惠政策，降低改革成本。必要时可聘请</w:t>
      </w:r>
      <w:r>
        <w:rPr>
          <w:rFonts w:hint="eastAsia" w:ascii="仿宋" w:hAnsi="仿宋" w:eastAsia="仿宋" w:cs="Helvetica"/>
          <w:b/>
          <w:kern w:val="0"/>
          <w:sz w:val="32"/>
          <w:szCs w:val="32"/>
        </w:rPr>
        <w:t>外部专家</w:t>
      </w:r>
      <w:r>
        <w:rPr>
          <w:rFonts w:hint="eastAsia" w:ascii="仿宋" w:hAnsi="仿宋" w:eastAsia="仿宋" w:cs="Helvetica"/>
          <w:kern w:val="0"/>
          <w:sz w:val="32"/>
          <w:szCs w:val="32"/>
        </w:rPr>
        <w:t>、</w:t>
      </w:r>
      <w:r>
        <w:rPr>
          <w:rFonts w:hint="eastAsia" w:ascii="仿宋" w:hAnsi="仿宋" w:eastAsia="仿宋" w:cs="Helvetica"/>
          <w:b/>
          <w:bCs/>
          <w:kern w:val="0"/>
          <w:sz w:val="32"/>
          <w:szCs w:val="32"/>
        </w:rPr>
        <w:t>中介机构</w:t>
      </w:r>
      <w:r>
        <w:rPr>
          <w:rFonts w:hint="eastAsia" w:ascii="仿宋" w:hAnsi="仿宋" w:eastAsia="仿宋" w:cs="Helvetica"/>
          <w:kern w:val="0"/>
          <w:sz w:val="32"/>
          <w:szCs w:val="32"/>
        </w:rPr>
        <w:t>等参与。[第一条第二款]</w:t>
      </w:r>
    </w:p>
    <w:p w14:paraId="4CF181F0">
      <w:pPr>
        <w:widowControl/>
        <w:shd w:val="clear" w:color="auto" w:fill="FFFFFF"/>
        <w:ind w:firstLine="643" w:firstLineChars="200"/>
        <w:rPr>
          <w:rFonts w:ascii="仿宋" w:hAnsi="仿宋" w:eastAsia="仿宋" w:cs="Helvetica"/>
          <w:kern w:val="0"/>
          <w:sz w:val="32"/>
          <w:szCs w:val="32"/>
        </w:rPr>
      </w:pPr>
      <w:r>
        <w:rPr>
          <w:rFonts w:hint="eastAsia" w:ascii="仿宋" w:hAnsi="仿宋" w:eastAsia="仿宋" w:cs="Helvetica"/>
          <w:b/>
          <w:kern w:val="0"/>
          <w:sz w:val="32"/>
          <w:szCs w:val="32"/>
        </w:rPr>
        <w:t>业务拓展建议：</w:t>
      </w:r>
      <w:r>
        <w:rPr>
          <w:rFonts w:hint="eastAsia" w:ascii="仿宋" w:hAnsi="仿宋" w:eastAsia="仿宋" w:cs="Helvetica"/>
          <w:kern w:val="0"/>
          <w:sz w:val="32"/>
          <w:szCs w:val="32"/>
        </w:rPr>
        <w:t>1.受企业委托，参与制定混合所有制改革方案。2.</w:t>
      </w:r>
      <w:r>
        <w:rPr>
          <w:rFonts w:ascii="仿宋" w:hAnsi="仿宋" w:eastAsia="仿宋" w:cs="Helvetica"/>
          <w:kern w:val="0"/>
          <w:sz w:val="32"/>
          <w:szCs w:val="32"/>
        </w:rPr>
        <w:t>参与“改革风险评估与防范措施”的制定，帮助企业识别税收风险，提出</w:t>
      </w:r>
      <w:r>
        <w:rPr>
          <w:rFonts w:hint="eastAsia" w:ascii="仿宋" w:hAnsi="仿宋" w:eastAsia="仿宋" w:cs="Helvetica"/>
          <w:kern w:val="0"/>
          <w:sz w:val="32"/>
          <w:szCs w:val="32"/>
        </w:rPr>
        <w:t>预防</w:t>
      </w:r>
      <w:r>
        <w:rPr>
          <w:rFonts w:ascii="仿宋" w:hAnsi="仿宋" w:eastAsia="仿宋" w:cs="Helvetica"/>
          <w:kern w:val="0"/>
          <w:sz w:val="32"/>
          <w:szCs w:val="32"/>
        </w:rPr>
        <w:t>措施。</w:t>
      </w:r>
    </w:p>
    <w:p w14:paraId="21DDFA37">
      <w:pPr>
        <w:ind w:firstLine="643" w:firstLineChars="200"/>
        <w:rPr>
          <w:rFonts w:ascii="楷体" w:hAnsi="楷体" w:eastAsia="楷体"/>
          <w:b/>
          <w:sz w:val="32"/>
          <w:szCs w:val="32"/>
        </w:rPr>
      </w:pPr>
      <w:r>
        <w:rPr>
          <w:rFonts w:hint="eastAsia" w:ascii="楷体" w:hAnsi="楷体" w:eastAsia="楷体"/>
          <w:b/>
          <w:sz w:val="32"/>
          <w:szCs w:val="32"/>
        </w:rPr>
        <w:t>（六）受企业委托，提供对外承包工程涉税专业服务</w:t>
      </w:r>
    </w:p>
    <w:p w14:paraId="74C1EB1B">
      <w:pPr>
        <w:widowControl/>
        <w:shd w:val="clear" w:color="auto" w:fill="FFFFFF"/>
        <w:ind w:firstLine="643" w:firstLineChars="200"/>
        <w:rPr>
          <w:rFonts w:ascii="仿宋" w:hAnsi="仿宋" w:eastAsia="仿宋" w:cs="Helvetica"/>
          <w:kern w:val="0"/>
          <w:sz w:val="32"/>
          <w:szCs w:val="32"/>
        </w:rPr>
      </w:pPr>
      <w:r>
        <w:rPr>
          <w:rFonts w:hint="eastAsia" w:ascii="仿宋" w:hAnsi="仿宋" w:eastAsia="仿宋" w:cs="Helvetica"/>
          <w:b/>
          <w:bCs/>
          <w:kern w:val="0"/>
          <w:sz w:val="32"/>
          <w:szCs w:val="32"/>
        </w:rPr>
        <w:t>规范依据：</w:t>
      </w:r>
      <w:r>
        <w:rPr>
          <w:rFonts w:hint="eastAsia" w:ascii="仿宋" w:hAnsi="仿宋" w:eastAsia="仿宋" w:cs="Helvetica"/>
          <w:kern w:val="0"/>
          <w:sz w:val="32"/>
          <w:szCs w:val="32"/>
        </w:rPr>
        <w:t>商务部、外交部、发展改革委等《关于促进对外承包工程高质量发展的指导意见》（商合发〔2019〕273号）</w:t>
      </w:r>
    </w:p>
    <w:p w14:paraId="711B7FEA">
      <w:pPr>
        <w:ind w:firstLine="643" w:firstLineChars="200"/>
        <w:rPr>
          <w:rFonts w:ascii="仿宋" w:hAnsi="仿宋" w:eastAsia="仿宋" w:cs="Helvetica"/>
          <w:kern w:val="0"/>
          <w:sz w:val="32"/>
          <w:szCs w:val="32"/>
        </w:rPr>
      </w:pPr>
      <w:r>
        <w:rPr>
          <w:rFonts w:hint="eastAsia" w:ascii="仿宋" w:hAnsi="仿宋" w:eastAsia="仿宋" w:cs="Helvetica"/>
          <w:b/>
          <w:bCs/>
          <w:kern w:val="0"/>
          <w:sz w:val="32"/>
          <w:szCs w:val="32"/>
        </w:rPr>
        <w:t>具体内容：</w:t>
      </w:r>
      <w:r>
        <w:rPr>
          <w:rFonts w:hint="eastAsia" w:ascii="仿宋" w:hAnsi="仿宋" w:eastAsia="仿宋" w:cs="Helvetica"/>
          <w:kern w:val="0"/>
          <w:sz w:val="32"/>
          <w:szCs w:val="32"/>
        </w:rPr>
        <w:t>加强综合性专业服务。支持我国的国际商事争端解决机构在对外承包工程争端解决中发挥更加有效的作用。引导企业运用多元化纠纷解决机制，依法妥善化解对外承包工程领域的各类争端。鼓励我国法律咨询、投资顾问、工程设备质量安全监理、造价咨询、风险管理、财务</w:t>
      </w:r>
      <w:r>
        <w:rPr>
          <w:rFonts w:hint="eastAsia" w:ascii="仿宋" w:hAnsi="仿宋" w:eastAsia="仿宋" w:cs="Helvetica"/>
          <w:b/>
          <w:bCs/>
          <w:kern w:val="0"/>
          <w:sz w:val="32"/>
          <w:szCs w:val="32"/>
        </w:rPr>
        <w:t>税务等中介机构</w:t>
      </w:r>
      <w:r>
        <w:rPr>
          <w:rFonts w:hint="eastAsia" w:ascii="仿宋" w:hAnsi="仿宋" w:eastAsia="仿宋" w:cs="Helvetica"/>
          <w:kern w:val="0"/>
          <w:sz w:val="32"/>
          <w:szCs w:val="32"/>
        </w:rPr>
        <w:t>加快与国际接轨步伐，为对外承包工程发展提供更加有效的专业服务。[第三条第十六款]</w:t>
      </w:r>
    </w:p>
    <w:p w14:paraId="766C6A1E">
      <w:pPr>
        <w:widowControl/>
        <w:shd w:val="clear" w:color="auto" w:fill="FFFFFF"/>
        <w:ind w:firstLine="643" w:firstLineChars="200"/>
        <w:rPr>
          <w:rFonts w:ascii="仿宋" w:hAnsi="仿宋" w:eastAsia="仿宋" w:cs="Helvetica"/>
          <w:kern w:val="0"/>
          <w:sz w:val="32"/>
          <w:szCs w:val="32"/>
        </w:rPr>
      </w:pPr>
      <w:r>
        <w:rPr>
          <w:rFonts w:hint="eastAsia" w:ascii="仿宋" w:hAnsi="仿宋" w:eastAsia="仿宋" w:cs="Helvetica"/>
          <w:b/>
          <w:kern w:val="0"/>
          <w:sz w:val="32"/>
          <w:szCs w:val="32"/>
        </w:rPr>
        <w:t>业务拓展建议：</w:t>
      </w:r>
      <w:r>
        <w:rPr>
          <w:rFonts w:hint="eastAsia" w:ascii="仿宋" w:hAnsi="仿宋" w:eastAsia="仿宋" w:cs="Helvetica"/>
          <w:kern w:val="0"/>
          <w:sz w:val="32"/>
          <w:szCs w:val="32"/>
        </w:rPr>
        <w:t>1.</w:t>
      </w:r>
      <w:r>
        <w:rPr>
          <w:rFonts w:ascii="仿宋" w:hAnsi="仿宋" w:eastAsia="仿宋" w:cs="Helvetica"/>
          <w:kern w:val="0"/>
          <w:sz w:val="32"/>
          <w:szCs w:val="32"/>
        </w:rPr>
        <w:t>协助企业解决对外承包工程中的</w:t>
      </w:r>
      <w:r>
        <w:rPr>
          <w:rFonts w:hint="eastAsia" w:ascii="仿宋" w:hAnsi="仿宋" w:eastAsia="仿宋" w:cs="Helvetica"/>
          <w:kern w:val="0"/>
          <w:sz w:val="32"/>
          <w:szCs w:val="32"/>
        </w:rPr>
        <w:t>涉税争议问题</w:t>
      </w:r>
      <w:r>
        <w:rPr>
          <w:rFonts w:ascii="仿宋" w:hAnsi="仿宋" w:eastAsia="仿宋" w:cs="Helvetica"/>
          <w:kern w:val="0"/>
          <w:sz w:val="32"/>
          <w:szCs w:val="32"/>
        </w:rPr>
        <w:t>。</w:t>
      </w:r>
      <w:r>
        <w:rPr>
          <w:rFonts w:hint="eastAsia" w:ascii="仿宋" w:hAnsi="仿宋" w:eastAsia="仿宋" w:cs="Helvetica"/>
          <w:kern w:val="0"/>
          <w:sz w:val="32"/>
          <w:szCs w:val="32"/>
        </w:rPr>
        <w:t>2.</w:t>
      </w:r>
      <w:r>
        <w:rPr>
          <w:rFonts w:ascii="仿宋" w:hAnsi="仿宋" w:eastAsia="仿宋" w:cs="Helvetica"/>
          <w:kern w:val="0"/>
          <w:sz w:val="32"/>
          <w:szCs w:val="32"/>
        </w:rPr>
        <w:t>帮助企业</w:t>
      </w:r>
      <w:r>
        <w:rPr>
          <w:rFonts w:hint="eastAsia" w:ascii="仿宋" w:hAnsi="仿宋" w:eastAsia="仿宋" w:cs="Helvetica"/>
          <w:kern w:val="0"/>
          <w:sz w:val="32"/>
          <w:szCs w:val="32"/>
        </w:rPr>
        <w:t>开展</w:t>
      </w:r>
      <w:r>
        <w:rPr>
          <w:rFonts w:ascii="仿宋" w:hAnsi="仿宋" w:eastAsia="仿宋" w:cs="Helvetica"/>
          <w:kern w:val="0"/>
          <w:sz w:val="32"/>
          <w:szCs w:val="32"/>
        </w:rPr>
        <w:t>税务风险预评估。</w:t>
      </w:r>
      <w:r>
        <w:rPr>
          <w:rFonts w:hint="eastAsia" w:ascii="仿宋" w:hAnsi="仿宋" w:eastAsia="仿宋" w:cs="Helvetica"/>
          <w:kern w:val="0"/>
          <w:sz w:val="32"/>
          <w:szCs w:val="32"/>
        </w:rPr>
        <w:t>3.担任</w:t>
      </w:r>
      <w:r>
        <w:rPr>
          <w:rFonts w:ascii="仿宋" w:hAnsi="仿宋" w:eastAsia="仿宋" w:cs="Helvetica"/>
          <w:kern w:val="0"/>
          <w:sz w:val="32"/>
          <w:szCs w:val="32"/>
        </w:rPr>
        <w:t>税务顾问，参与企业</w:t>
      </w:r>
      <w:r>
        <w:rPr>
          <w:rFonts w:hint="eastAsia" w:ascii="仿宋" w:hAnsi="仿宋" w:eastAsia="仿宋" w:cs="Helvetica"/>
          <w:kern w:val="0"/>
          <w:sz w:val="32"/>
          <w:szCs w:val="32"/>
        </w:rPr>
        <w:t>经营</w:t>
      </w:r>
      <w:r>
        <w:rPr>
          <w:rFonts w:ascii="仿宋" w:hAnsi="仿宋" w:eastAsia="仿宋" w:cs="Helvetica"/>
          <w:kern w:val="0"/>
          <w:sz w:val="32"/>
          <w:szCs w:val="32"/>
        </w:rPr>
        <w:t>决策。</w:t>
      </w:r>
    </w:p>
    <w:p w14:paraId="0139FD59">
      <w:pPr>
        <w:pStyle w:val="28"/>
        <w:spacing w:before="0" w:beforeAutospacing="0" w:after="0" w:afterAutospacing="0"/>
        <w:ind w:firstLine="643" w:firstLineChars="200"/>
        <w:rPr>
          <w:rFonts w:ascii="楷体" w:hAnsi="楷体" w:eastAsia="楷体" w:cs="微软雅黑"/>
          <w:b/>
          <w:sz w:val="32"/>
          <w:szCs w:val="32"/>
        </w:rPr>
      </w:pPr>
      <w:r>
        <w:rPr>
          <w:rFonts w:hint="eastAsia" w:ascii="楷体" w:hAnsi="楷体" w:eastAsia="楷体" w:cs="微软雅黑"/>
          <w:b/>
          <w:sz w:val="32"/>
          <w:szCs w:val="32"/>
        </w:rPr>
        <w:t>（七）受土地储备机构委托，进行土地储备资金收支项目决算草案的审核</w:t>
      </w:r>
    </w:p>
    <w:p w14:paraId="5E7F160E">
      <w:pPr>
        <w:ind w:right="284" w:firstLine="643" w:firstLineChars="200"/>
        <w:rPr>
          <w:rFonts w:ascii="仿宋" w:hAnsi="仿宋" w:eastAsia="仿宋" w:cs="微软雅黑"/>
          <w:kern w:val="0"/>
          <w:sz w:val="32"/>
          <w:szCs w:val="32"/>
        </w:rPr>
      </w:pPr>
      <w:r>
        <w:rPr>
          <w:rFonts w:hint="eastAsia" w:ascii="仿宋" w:hAnsi="仿宋" w:eastAsia="仿宋" w:cs="微软雅黑"/>
          <w:b/>
          <w:kern w:val="0"/>
          <w:sz w:val="32"/>
          <w:szCs w:val="32"/>
        </w:rPr>
        <w:t>规范依据：</w:t>
      </w:r>
      <w:r>
        <w:fldChar w:fldCharType="begin"/>
      </w:r>
      <w:r>
        <w:instrText xml:space="preserve"> HYPERLINK "https://www.faxin.cn/lib/zyfl/ZyflContent.aspx?gid=A260879&amp;libid=010104&amp;userinput=%25e5%2585%25b3%25e4%25ba%258e%25e5%258d%25b0%25e5%258f%2591%253c%25e5%259c%259f%25e5%259c%25b0%25e5%2582%25a8%25e5%25a4%2587%25e8%25b5%2584%25e9%2587%2591%25e8%25b4%25a2%25e5%258a%25a1%25e7%25ae%25a1%25e7%2590%2586%25e5%258a%259e%25e6%25b3%2595%253e%25e7%259a%2584%25e9%2580%259a%25e7%259f%25a5" \t "_blank" </w:instrText>
      </w:r>
      <w:r>
        <w:fldChar w:fldCharType="separate"/>
      </w:r>
      <w:r>
        <w:rPr>
          <w:rFonts w:hint="eastAsia" w:ascii="仿宋" w:hAnsi="仿宋" w:eastAsia="仿宋" w:cs="微软雅黑"/>
          <w:kern w:val="0"/>
          <w:sz w:val="32"/>
          <w:szCs w:val="32"/>
        </w:rPr>
        <w:t>财政部、国土资源部关于印发《土地储备资金财务管理办法》的通知</w:t>
      </w:r>
      <w:r>
        <w:rPr>
          <w:rFonts w:ascii="仿宋" w:hAnsi="仿宋" w:eastAsia="仿宋" w:cs="微软雅黑"/>
          <w:kern w:val="0"/>
          <w:sz w:val="32"/>
          <w:szCs w:val="32"/>
        </w:rPr>
        <w:fldChar w:fldCharType="end"/>
      </w:r>
      <w:r>
        <w:rPr>
          <w:rFonts w:hint="eastAsia" w:ascii="仿宋" w:hAnsi="仿宋" w:eastAsia="仿宋" w:cs="微软雅黑"/>
          <w:kern w:val="0"/>
          <w:sz w:val="32"/>
          <w:szCs w:val="32"/>
        </w:rPr>
        <w:t>（财综〔2018〕8号）</w:t>
      </w:r>
    </w:p>
    <w:p w14:paraId="573B23AE">
      <w:pPr>
        <w:ind w:right="284" w:firstLine="643" w:firstLineChars="200"/>
        <w:rPr>
          <w:rFonts w:ascii="仿宋" w:hAnsi="仿宋" w:eastAsia="仿宋" w:cs="微软雅黑"/>
          <w:kern w:val="0"/>
          <w:sz w:val="32"/>
          <w:szCs w:val="32"/>
        </w:rPr>
      </w:pPr>
      <w:r>
        <w:rPr>
          <w:rFonts w:hint="eastAsia" w:ascii="仿宋" w:hAnsi="仿宋" w:eastAsia="仿宋" w:cs="微软雅黑"/>
          <w:b/>
          <w:kern w:val="0"/>
          <w:sz w:val="32"/>
          <w:szCs w:val="32"/>
        </w:rPr>
        <w:t>具体内容：</w:t>
      </w:r>
      <w:r>
        <w:rPr>
          <w:rFonts w:hint="eastAsia" w:ascii="仿宋" w:hAnsi="仿宋" w:eastAsia="仿宋" w:cs="微软雅黑"/>
          <w:kern w:val="0"/>
          <w:sz w:val="32"/>
          <w:szCs w:val="32"/>
        </w:rPr>
        <w:t>土地储备资金收支项目决算草案的审核，也可委托具有良好信誉、执业质量高的会计师事务所</w:t>
      </w:r>
      <w:r>
        <w:rPr>
          <w:rFonts w:hint="eastAsia" w:ascii="仿宋" w:hAnsi="仿宋" w:eastAsia="仿宋" w:cs="微软雅黑"/>
          <w:b/>
          <w:kern w:val="0"/>
          <w:sz w:val="32"/>
          <w:szCs w:val="32"/>
        </w:rPr>
        <w:t>等相关中介机构</w:t>
      </w:r>
      <w:r>
        <w:rPr>
          <w:rFonts w:hint="eastAsia" w:ascii="仿宋" w:hAnsi="仿宋" w:eastAsia="仿宋" w:cs="微软雅黑"/>
          <w:kern w:val="0"/>
          <w:sz w:val="32"/>
          <w:szCs w:val="32"/>
        </w:rPr>
        <w:t>实施。[第十八条]</w:t>
      </w:r>
    </w:p>
    <w:p w14:paraId="5DE02E90">
      <w:pPr>
        <w:pStyle w:val="28"/>
        <w:spacing w:before="0" w:beforeAutospacing="0" w:after="0" w:afterAutospacing="0"/>
        <w:ind w:firstLine="643" w:firstLineChars="200"/>
        <w:rPr>
          <w:rFonts w:ascii="仿宋" w:hAnsi="仿宋" w:eastAsia="仿宋" w:cs="Helvetica"/>
          <w:b/>
          <w:sz w:val="32"/>
          <w:szCs w:val="32"/>
        </w:rPr>
      </w:pPr>
      <w:r>
        <w:rPr>
          <w:rFonts w:hint="eastAsia" w:ascii="仿宋" w:hAnsi="仿宋" w:eastAsia="仿宋" w:cs="Helvetica"/>
          <w:b/>
          <w:sz w:val="32"/>
          <w:szCs w:val="32"/>
        </w:rPr>
        <w:t>业务拓展建议：</w:t>
      </w:r>
      <w:r>
        <w:rPr>
          <w:rFonts w:hint="eastAsia" w:ascii="仿宋" w:hAnsi="仿宋" w:eastAsia="仿宋" w:cs="Helvetica"/>
          <w:sz w:val="32"/>
          <w:szCs w:val="32"/>
        </w:rPr>
        <w:t>1.受土地储备机构委托，进行土地储备资金收支项目决算草案的审核</w:t>
      </w:r>
      <w:r>
        <w:rPr>
          <w:rFonts w:ascii="仿宋" w:hAnsi="仿宋" w:eastAsia="仿宋" w:cs="Helvetica"/>
          <w:sz w:val="32"/>
          <w:szCs w:val="32"/>
        </w:rPr>
        <w:t>。</w:t>
      </w:r>
      <w:r>
        <w:rPr>
          <w:rFonts w:hint="eastAsia" w:ascii="仿宋" w:hAnsi="仿宋" w:eastAsia="仿宋" w:cs="Helvetica"/>
          <w:sz w:val="32"/>
          <w:szCs w:val="32"/>
        </w:rPr>
        <w:t>2.</w:t>
      </w:r>
      <w:r>
        <w:rPr>
          <w:rFonts w:ascii="仿宋" w:hAnsi="仿宋" w:eastAsia="仿宋" w:cs="Helvetica"/>
          <w:sz w:val="32"/>
          <w:szCs w:val="32"/>
        </w:rPr>
        <w:t>协助财政部门和国土资源部门开展土地储备资金的绩效评价工作。</w:t>
      </w:r>
      <w:r>
        <w:rPr>
          <w:rFonts w:hint="eastAsia" w:ascii="仿宋" w:hAnsi="仿宋" w:eastAsia="仿宋" w:cs="Helvetica"/>
          <w:sz w:val="32"/>
          <w:szCs w:val="32"/>
        </w:rPr>
        <w:t>3.</w:t>
      </w:r>
      <w:r>
        <w:rPr>
          <w:rFonts w:ascii="仿宋" w:hAnsi="仿宋" w:eastAsia="仿宋" w:cs="Helvetica"/>
          <w:sz w:val="32"/>
          <w:szCs w:val="32"/>
        </w:rPr>
        <w:t>协助土地储备机构准备和配合财政、国土资源管理部门的监督检查工作。</w:t>
      </w:r>
      <w:r>
        <w:rPr>
          <w:rFonts w:hint="eastAsia" w:ascii="仿宋" w:hAnsi="仿宋" w:eastAsia="仿宋" w:cs="Helvetica"/>
          <w:sz w:val="32"/>
          <w:szCs w:val="32"/>
        </w:rPr>
        <w:t>4.</w:t>
      </w:r>
      <w:r>
        <w:rPr>
          <w:rFonts w:ascii="仿宋" w:hAnsi="仿宋" w:eastAsia="仿宋" w:cs="Helvetica"/>
          <w:sz w:val="32"/>
          <w:szCs w:val="32"/>
        </w:rPr>
        <w:t>为土地储备机构提供风险评估和管理服务，帮助机构识别和控制财务风险。</w:t>
      </w:r>
    </w:p>
    <w:p w14:paraId="100B3A72">
      <w:pPr>
        <w:pStyle w:val="28"/>
        <w:spacing w:before="0" w:beforeAutospacing="0" w:after="0" w:afterAutospacing="0"/>
        <w:ind w:firstLine="643" w:firstLineChars="200"/>
        <w:rPr>
          <w:rFonts w:ascii="楷体" w:hAnsi="楷体" w:eastAsia="楷体" w:cs="微软雅黑"/>
          <w:b/>
          <w:sz w:val="32"/>
          <w:szCs w:val="32"/>
        </w:rPr>
      </w:pPr>
      <w:r>
        <w:rPr>
          <w:rFonts w:hint="eastAsia" w:ascii="楷体" w:hAnsi="楷体" w:eastAsia="楷体" w:cs="微软雅黑"/>
          <w:b/>
          <w:sz w:val="32"/>
          <w:szCs w:val="32"/>
        </w:rPr>
        <w:t>（八）受企业委托，提供国际税收咨询服务</w:t>
      </w:r>
    </w:p>
    <w:p w14:paraId="1CCC19D5">
      <w:pPr>
        <w:pStyle w:val="28"/>
        <w:spacing w:before="0" w:beforeAutospacing="0" w:after="0" w:afterAutospacing="0"/>
        <w:ind w:firstLine="643" w:firstLineChars="200"/>
        <w:rPr>
          <w:rFonts w:ascii="仿宋" w:hAnsi="仿宋" w:eastAsia="仿宋" w:cs="Helvetica"/>
          <w:b/>
          <w:sz w:val="32"/>
          <w:szCs w:val="32"/>
        </w:rPr>
      </w:pPr>
      <w:r>
        <w:rPr>
          <w:rFonts w:hint="eastAsia" w:ascii="仿宋" w:hAnsi="仿宋" w:eastAsia="仿宋" w:cs="Helvetica"/>
          <w:b/>
          <w:sz w:val="32"/>
          <w:szCs w:val="32"/>
        </w:rPr>
        <w:t>规范依据1：</w:t>
      </w:r>
      <w:r>
        <w:rPr>
          <w:rFonts w:hint="eastAsia" w:ascii="仿宋" w:hAnsi="仿宋" w:eastAsia="仿宋" w:cs="Helvetica"/>
          <w:sz w:val="32"/>
          <w:szCs w:val="32"/>
        </w:rPr>
        <w:t>国务院办公厅转发国家发展改革委商务部人民银行外交部关于进一步引导和规范境外投资方向指导意见的通知（国办发〔2017〕74号）</w:t>
      </w:r>
    </w:p>
    <w:p w14:paraId="76C2CF34">
      <w:pPr>
        <w:ind w:firstLine="643" w:firstLineChars="200"/>
        <w:rPr>
          <w:rFonts w:ascii="仿宋" w:hAnsi="仿宋" w:eastAsia="仿宋" w:cs="Helvetica"/>
          <w:kern w:val="0"/>
          <w:sz w:val="32"/>
          <w:szCs w:val="32"/>
        </w:rPr>
      </w:pPr>
      <w:r>
        <w:rPr>
          <w:rFonts w:hint="eastAsia" w:ascii="仿宋" w:hAnsi="仿宋" w:eastAsia="仿宋" w:cs="Helvetica"/>
          <w:b/>
          <w:bCs/>
          <w:kern w:val="0"/>
          <w:sz w:val="32"/>
          <w:szCs w:val="32"/>
        </w:rPr>
        <w:t>具体内容：</w:t>
      </w:r>
      <w:r>
        <w:rPr>
          <w:rFonts w:hint="eastAsia" w:ascii="仿宋" w:hAnsi="仿宋" w:eastAsia="仿宋" w:cs="Helvetica"/>
          <w:kern w:val="0"/>
          <w:sz w:val="32"/>
          <w:szCs w:val="32"/>
        </w:rPr>
        <w:t>提高服务水平。</w:t>
      </w:r>
      <w:r>
        <w:rPr>
          <w:rFonts w:ascii="仿宋" w:hAnsi="仿宋" w:eastAsia="仿宋" w:cs="Helvetica"/>
          <w:kern w:val="0"/>
          <w:sz w:val="32"/>
          <w:szCs w:val="32"/>
        </w:rPr>
        <w:t>……</w:t>
      </w:r>
      <w:r>
        <w:rPr>
          <w:rFonts w:hint="eastAsia" w:ascii="仿宋" w:hAnsi="仿宋" w:eastAsia="仿宋" w:cs="Helvetica"/>
          <w:kern w:val="0"/>
          <w:sz w:val="32"/>
          <w:szCs w:val="32"/>
        </w:rPr>
        <w:t>。支持境内资产评估、法律服务、会计服务、</w:t>
      </w:r>
      <w:r>
        <w:rPr>
          <w:rFonts w:hint="eastAsia" w:ascii="仿宋" w:hAnsi="仿宋" w:eastAsia="仿宋" w:cs="Helvetica"/>
          <w:b/>
          <w:bCs/>
          <w:kern w:val="0"/>
          <w:sz w:val="32"/>
          <w:szCs w:val="32"/>
        </w:rPr>
        <w:t>税务服务</w:t>
      </w:r>
      <w:r>
        <w:rPr>
          <w:rFonts w:hint="eastAsia" w:ascii="仿宋" w:hAnsi="仿宋" w:eastAsia="仿宋" w:cs="Helvetica"/>
          <w:kern w:val="0"/>
          <w:sz w:val="32"/>
          <w:szCs w:val="32"/>
        </w:rPr>
        <w:t>、投资顾问、设计咨询、风险评估、认证、仲裁</w:t>
      </w:r>
      <w:r>
        <w:rPr>
          <w:rFonts w:hint="eastAsia" w:ascii="仿宋" w:hAnsi="仿宋" w:eastAsia="仿宋" w:cs="Helvetica"/>
          <w:b/>
          <w:bCs/>
          <w:kern w:val="0"/>
          <w:sz w:val="32"/>
          <w:szCs w:val="32"/>
        </w:rPr>
        <w:t>等相关中介机构</w:t>
      </w:r>
      <w:r>
        <w:rPr>
          <w:rFonts w:hint="eastAsia" w:ascii="仿宋" w:hAnsi="仿宋" w:eastAsia="仿宋" w:cs="Helvetica"/>
          <w:kern w:val="0"/>
          <w:sz w:val="32"/>
          <w:szCs w:val="32"/>
        </w:rPr>
        <w:t>发展，为企业境外投资提供市场化、社会化、国际化的商业咨询服务，降低企业境外投资经营风险。[第六条第三款]</w:t>
      </w:r>
    </w:p>
    <w:p w14:paraId="7EA1AD7D">
      <w:pPr>
        <w:widowControl/>
        <w:shd w:val="clear" w:color="auto" w:fill="FFFFFF"/>
        <w:ind w:firstLine="643" w:firstLineChars="200"/>
        <w:rPr>
          <w:rFonts w:ascii="仿宋" w:hAnsi="仿宋" w:eastAsia="仿宋" w:cs="Helvetica"/>
          <w:kern w:val="0"/>
          <w:sz w:val="32"/>
          <w:szCs w:val="32"/>
        </w:rPr>
      </w:pPr>
      <w:r>
        <w:rPr>
          <w:rFonts w:hint="eastAsia" w:ascii="仿宋" w:hAnsi="仿宋" w:eastAsia="仿宋" w:cs="Helvetica"/>
          <w:b/>
          <w:bCs/>
          <w:kern w:val="0"/>
          <w:sz w:val="32"/>
          <w:szCs w:val="32"/>
        </w:rPr>
        <w:t>规范依据2：</w:t>
      </w:r>
      <w:r>
        <w:rPr>
          <w:rFonts w:hint="eastAsia" w:ascii="仿宋" w:hAnsi="仿宋" w:eastAsia="仿宋" w:cs="Helvetica"/>
          <w:kern w:val="0"/>
          <w:sz w:val="32"/>
          <w:szCs w:val="32"/>
        </w:rPr>
        <w:t>《国务院关于积极推进“互联网+”行动的指导意见》（国发〔2015〕40号）</w:t>
      </w:r>
    </w:p>
    <w:p w14:paraId="3AB7AB63">
      <w:pPr>
        <w:ind w:firstLine="643" w:firstLineChars="200"/>
        <w:rPr>
          <w:rFonts w:ascii="仿宋" w:hAnsi="仿宋" w:eastAsia="仿宋" w:cs="Helvetica"/>
          <w:kern w:val="0"/>
          <w:sz w:val="32"/>
          <w:szCs w:val="32"/>
        </w:rPr>
      </w:pPr>
      <w:r>
        <w:rPr>
          <w:rFonts w:hint="eastAsia" w:ascii="仿宋" w:hAnsi="仿宋" w:eastAsia="仿宋" w:cs="Helvetica"/>
          <w:b/>
          <w:bCs/>
          <w:kern w:val="0"/>
          <w:sz w:val="32"/>
          <w:szCs w:val="32"/>
        </w:rPr>
        <w:t>具体内容：</w:t>
      </w:r>
      <w:r>
        <w:rPr>
          <w:rFonts w:hint="eastAsia" w:ascii="仿宋" w:hAnsi="仿宋" w:eastAsia="仿宋" w:cs="Helvetica"/>
          <w:kern w:val="0"/>
          <w:sz w:val="32"/>
          <w:szCs w:val="32"/>
        </w:rPr>
        <w:t>拓展海外合作。</w:t>
      </w:r>
      <w:r>
        <w:rPr>
          <w:rFonts w:ascii="仿宋" w:hAnsi="仿宋" w:eastAsia="仿宋" w:cs="Helvetica"/>
          <w:kern w:val="0"/>
          <w:sz w:val="32"/>
          <w:szCs w:val="32"/>
        </w:rPr>
        <w:t>……</w:t>
      </w:r>
      <w:r>
        <w:rPr>
          <w:rFonts w:hint="eastAsia" w:ascii="仿宋" w:hAnsi="仿宋" w:eastAsia="仿宋" w:cs="Helvetica"/>
          <w:kern w:val="0"/>
          <w:sz w:val="32"/>
          <w:szCs w:val="32"/>
        </w:rPr>
        <w:t>。鼓励</w:t>
      </w:r>
      <w:r>
        <w:rPr>
          <w:rFonts w:hint="eastAsia" w:ascii="仿宋" w:hAnsi="仿宋" w:eastAsia="仿宋" w:cs="Helvetica"/>
          <w:b/>
          <w:bCs/>
          <w:kern w:val="0"/>
          <w:sz w:val="32"/>
          <w:szCs w:val="32"/>
        </w:rPr>
        <w:t>中介机构</w:t>
      </w:r>
      <w:r>
        <w:rPr>
          <w:rFonts w:hint="eastAsia" w:ascii="仿宋" w:hAnsi="仿宋" w:eastAsia="仿宋" w:cs="Helvetica"/>
          <w:kern w:val="0"/>
          <w:sz w:val="32"/>
          <w:szCs w:val="32"/>
        </w:rPr>
        <w:t>为企业拓展海外市场提供信息咨询、法律援助、税务中介等服务。支持行业协会、产业联盟与企业共同推广中国技术和中国标准，以技术标准走出去带动产品和服务在海外推广应用。[第三条第四款]</w:t>
      </w:r>
    </w:p>
    <w:p w14:paraId="6E736047">
      <w:pPr>
        <w:widowControl/>
        <w:shd w:val="clear" w:color="auto" w:fill="FFFFFF"/>
        <w:ind w:firstLine="643" w:firstLineChars="200"/>
        <w:rPr>
          <w:rFonts w:ascii="仿宋" w:hAnsi="仿宋" w:eastAsia="仿宋" w:cs="Helvetica"/>
          <w:kern w:val="0"/>
          <w:sz w:val="32"/>
          <w:szCs w:val="32"/>
        </w:rPr>
      </w:pPr>
      <w:r>
        <w:rPr>
          <w:rFonts w:hint="eastAsia" w:ascii="仿宋" w:hAnsi="仿宋" w:eastAsia="仿宋" w:cs="Helvetica"/>
          <w:b/>
          <w:bCs/>
          <w:kern w:val="0"/>
          <w:sz w:val="32"/>
          <w:szCs w:val="32"/>
        </w:rPr>
        <w:t>规范依据3：</w:t>
      </w:r>
      <w:r>
        <w:rPr>
          <w:rFonts w:hint="eastAsia" w:ascii="仿宋" w:hAnsi="仿宋" w:eastAsia="仿宋" w:cs="Helvetica"/>
          <w:kern w:val="0"/>
          <w:sz w:val="32"/>
          <w:szCs w:val="32"/>
        </w:rPr>
        <w:t>《国务院关于推进国际产能和装备制造合作的指导意见》（国发〔2015〕30号）</w:t>
      </w:r>
    </w:p>
    <w:p w14:paraId="0016F5D6">
      <w:pPr>
        <w:ind w:firstLine="643" w:firstLineChars="200"/>
        <w:rPr>
          <w:rFonts w:ascii="仿宋" w:hAnsi="仿宋" w:eastAsia="仿宋" w:cs="Helvetica"/>
          <w:kern w:val="0"/>
          <w:sz w:val="32"/>
          <w:szCs w:val="32"/>
        </w:rPr>
      </w:pPr>
      <w:r>
        <w:rPr>
          <w:rFonts w:hint="eastAsia" w:ascii="仿宋" w:hAnsi="仿宋" w:eastAsia="仿宋" w:cs="Helvetica"/>
          <w:b/>
          <w:bCs/>
          <w:kern w:val="0"/>
          <w:sz w:val="32"/>
          <w:szCs w:val="32"/>
        </w:rPr>
        <w:t>具体内容：</w:t>
      </w:r>
      <w:r>
        <w:rPr>
          <w:rFonts w:hint="eastAsia" w:ascii="仿宋" w:hAnsi="仿宋" w:eastAsia="仿宋" w:cs="Helvetica"/>
          <w:kern w:val="0"/>
          <w:sz w:val="32"/>
          <w:szCs w:val="32"/>
        </w:rPr>
        <w:t>强化行业协会和中介机构作用。鼓励行业协会、商会、</w:t>
      </w:r>
      <w:r>
        <w:rPr>
          <w:rFonts w:hint="eastAsia" w:ascii="仿宋" w:hAnsi="仿宋" w:eastAsia="仿宋" w:cs="Helvetica"/>
          <w:b/>
          <w:bCs/>
          <w:kern w:val="0"/>
          <w:sz w:val="32"/>
          <w:szCs w:val="32"/>
        </w:rPr>
        <w:t>中介机构</w:t>
      </w:r>
      <w:r>
        <w:rPr>
          <w:rFonts w:hint="eastAsia" w:ascii="仿宋" w:hAnsi="仿宋" w:eastAsia="仿宋" w:cs="Helvetica"/>
          <w:kern w:val="0"/>
          <w:sz w:val="32"/>
          <w:szCs w:val="32"/>
        </w:rPr>
        <w:t>发挥积极作用，为企业“走出去”提供市场化、社会化、国际化的法律、会计、税务、投资、咨询、知识产权、风险评估和认证等服务。建立行业自律与政府监管相结合的管理体系，完善中介服务执业规则与管理制度，提高中介机构服务质量，强化中介服务机构的责任。[第七条第三十八款]</w:t>
      </w:r>
    </w:p>
    <w:p w14:paraId="56014A7B">
      <w:pPr>
        <w:pStyle w:val="28"/>
        <w:spacing w:before="0" w:beforeAutospacing="0" w:after="0" w:afterAutospacing="0"/>
        <w:ind w:firstLine="643" w:firstLineChars="200"/>
        <w:rPr>
          <w:rFonts w:ascii="仿宋" w:hAnsi="仿宋" w:eastAsia="仿宋" w:cs="Helvetica"/>
          <w:sz w:val="32"/>
          <w:szCs w:val="32"/>
        </w:rPr>
      </w:pPr>
      <w:r>
        <w:rPr>
          <w:rFonts w:hint="eastAsia" w:ascii="仿宋" w:hAnsi="仿宋" w:eastAsia="仿宋" w:cs="Helvetica"/>
          <w:b/>
          <w:sz w:val="32"/>
          <w:szCs w:val="32"/>
        </w:rPr>
        <w:t>规范依据4：</w:t>
      </w:r>
      <w:r>
        <w:rPr>
          <w:rFonts w:hint="eastAsia" w:ascii="仿宋" w:hAnsi="仿宋" w:eastAsia="仿宋" w:cs="Helvetica"/>
          <w:sz w:val="32"/>
          <w:szCs w:val="32"/>
        </w:rPr>
        <w:t>《国家税务总局关于落实“一带一路”发展战略要求 做好税收服务与管理工作的通知》（税总发〔2015〕60号）</w:t>
      </w:r>
    </w:p>
    <w:p w14:paraId="24C59E06">
      <w:pPr>
        <w:pStyle w:val="28"/>
        <w:spacing w:before="0" w:beforeAutospacing="0" w:after="0" w:afterAutospacing="0"/>
        <w:ind w:firstLine="643" w:firstLineChars="200"/>
        <w:jc w:val="both"/>
        <w:rPr>
          <w:rFonts w:ascii="仿宋" w:hAnsi="仿宋" w:eastAsia="仿宋" w:cs="微软雅黑"/>
          <w:sz w:val="32"/>
          <w:szCs w:val="32"/>
        </w:rPr>
      </w:pPr>
      <w:r>
        <w:rPr>
          <w:rFonts w:hint="eastAsia" w:ascii="仿宋" w:hAnsi="仿宋" w:eastAsia="仿宋" w:cs="微软雅黑"/>
          <w:b/>
          <w:sz w:val="32"/>
          <w:szCs w:val="32"/>
        </w:rPr>
        <w:t>具体内容：</w:t>
      </w:r>
      <w:r>
        <w:rPr>
          <w:rFonts w:hint="eastAsia" w:ascii="仿宋" w:hAnsi="仿宋" w:eastAsia="仿宋" w:cs="微软雅黑"/>
          <w:sz w:val="32"/>
          <w:szCs w:val="32"/>
        </w:rPr>
        <w:t>发挥中介机构作用。合理引导注册会计师事务所、</w:t>
      </w:r>
      <w:r>
        <w:rPr>
          <w:rFonts w:hint="eastAsia" w:ascii="仿宋" w:hAnsi="仿宋" w:eastAsia="仿宋" w:cs="微软雅黑"/>
          <w:b/>
          <w:bCs/>
          <w:sz w:val="32"/>
          <w:szCs w:val="32"/>
        </w:rPr>
        <w:t>注册税务师事务所</w:t>
      </w:r>
      <w:r>
        <w:rPr>
          <w:rFonts w:hint="eastAsia" w:ascii="仿宋" w:hAnsi="仿宋" w:eastAsia="仿宋" w:cs="微软雅黑"/>
          <w:sz w:val="32"/>
          <w:szCs w:val="32"/>
        </w:rPr>
        <w:t>等中介机构“走出去”，提供重点投资国税收法律咨询等方面服务，努力为“走出去”企业提供稳定、及时、方便的专业服务。[第二条]</w:t>
      </w:r>
    </w:p>
    <w:p w14:paraId="12A59ABF">
      <w:pPr>
        <w:pStyle w:val="28"/>
        <w:spacing w:before="0" w:beforeAutospacing="0" w:after="0" w:afterAutospacing="0"/>
        <w:ind w:firstLine="643" w:firstLineChars="200"/>
        <w:rPr>
          <w:rFonts w:ascii="仿宋" w:hAnsi="仿宋" w:eastAsia="仿宋" w:cs="Helvetica"/>
          <w:b/>
          <w:sz w:val="32"/>
          <w:szCs w:val="32"/>
        </w:rPr>
      </w:pPr>
      <w:r>
        <w:rPr>
          <w:rFonts w:hint="eastAsia" w:ascii="仿宋" w:hAnsi="仿宋" w:eastAsia="仿宋" w:cs="Helvetica"/>
          <w:b/>
          <w:sz w:val="32"/>
          <w:szCs w:val="32"/>
        </w:rPr>
        <w:t>业务拓展建议：</w:t>
      </w:r>
      <w:r>
        <w:rPr>
          <w:rFonts w:hint="eastAsia" w:ascii="仿宋" w:hAnsi="仿宋" w:eastAsia="仿宋" w:cs="Helvetica"/>
          <w:sz w:val="32"/>
          <w:szCs w:val="32"/>
        </w:rPr>
        <w:t>1.受企业委托，提供国际税收法律咨询等服务。2.</w:t>
      </w:r>
      <w:r>
        <w:rPr>
          <w:rFonts w:ascii="仿宋" w:hAnsi="仿宋" w:eastAsia="仿宋" w:cs="Helvetica"/>
          <w:sz w:val="32"/>
          <w:szCs w:val="32"/>
        </w:rPr>
        <w:t>为“走出去”企业提供定制化的国际税务顾问服务。</w:t>
      </w:r>
      <w:r>
        <w:rPr>
          <w:rFonts w:hint="eastAsia" w:ascii="仿宋" w:hAnsi="仿宋" w:eastAsia="仿宋" w:cs="Helvetica"/>
          <w:sz w:val="32"/>
          <w:szCs w:val="32"/>
        </w:rPr>
        <w:t>3.</w:t>
      </w:r>
      <w:r>
        <w:rPr>
          <w:rFonts w:ascii="仿宋" w:hAnsi="仿宋" w:eastAsia="仿宋" w:cs="Helvetica"/>
          <w:sz w:val="32"/>
          <w:szCs w:val="32"/>
        </w:rPr>
        <w:t>在企业进行跨国并购时，提供税务尽职调查、交易结构设计、税务影响分析等专业服务。</w:t>
      </w:r>
    </w:p>
    <w:p w14:paraId="2488E6FC">
      <w:pPr>
        <w:ind w:firstLine="643" w:firstLineChars="200"/>
        <w:rPr>
          <w:rFonts w:ascii="楷体" w:hAnsi="楷体" w:eastAsia="楷体"/>
          <w:b/>
          <w:sz w:val="32"/>
          <w:szCs w:val="32"/>
        </w:rPr>
      </w:pPr>
      <w:r>
        <w:rPr>
          <w:rFonts w:hint="eastAsia" w:ascii="楷体" w:hAnsi="楷体" w:eastAsia="楷体"/>
          <w:b/>
          <w:sz w:val="32"/>
          <w:szCs w:val="32"/>
        </w:rPr>
        <w:t>（九）受国有企业委托，开展尽职调查</w:t>
      </w:r>
    </w:p>
    <w:p w14:paraId="729F417D">
      <w:pPr>
        <w:widowControl/>
        <w:shd w:val="clear" w:color="auto" w:fill="FFFFFF"/>
        <w:ind w:firstLine="643" w:firstLineChars="200"/>
        <w:rPr>
          <w:rFonts w:ascii="仿宋" w:hAnsi="仿宋" w:eastAsia="仿宋" w:cs="Helvetica"/>
          <w:kern w:val="0"/>
          <w:sz w:val="32"/>
          <w:szCs w:val="32"/>
        </w:rPr>
      </w:pPr>
      <w:r>
        <w:rPr>
          <w:rFonts w:hint="eastAsia" w:ascii="仿宋" w:hAnsi="仿宋" w:eastAsia="仿宋" w:cs="Helvetica"/>
          <w:b/>
          <w:bCs/>
          <w:kern w:val="0"/>
          <w:sz w:val="32"/>
          <w:szCs w:val="32"/>
        </w:rPr>
        <w:t>规范依据：</w:t>
      </w:r>
      <w:r>
        <w:rPr>
          <w:rFonts w:hint="eastAsia" w:ascii="仿宋" w:hAnsi="仿宋" w:eastAsia="仿宋" w:cs="Helvetica"/>
          <w:kern w:val="0"/>
          <w:sz w:val="32"/>
          <w:szCs w:val="32"/>
        </w:rPr>
        <w:t>财政部关于印发《国有企业境外投资财务管理办法》的通知（财资〔2017〕24号）</w:t>
      </w:r>
    </w:p>
    <w:p w14:paraId="779632BD">
      <w:pPr>
        <w:widowControl/>
        <w:shd w:val="clear" w:color="auto" w:fill="FFFFFF"/>
        <w:ind w:firstLine="643" w:firstLineChars="200"/>
        <w:rPr>
          <w:rFonts w:ascii="仿宋" w:hAnsi="仿宋" w:eastAsia="仿宋" w:cs="Helvetica"/>
          <w:kern w:val="0"/>
          <w:sz w:val="32"/>
          <w:szCs w:val="32"/>
        </w:rPr>
      </w:pPr>
      <w:r>
        <w:rPr>
          <w:rFonts w:hint="eastAsia" w:ascii="仿宋" w:hAnsi="仿宋" w:eastAsia="仿宋" w:cs="Helvetica"/>
          <w:b/>
          <w:bCs/>
          <w:kern w:val="0"/>
          <w:sz w:val="32"/>
          <w:szCs w:val="32"/>
        </w:rPr>
        <w:t>具体内容：</w:t>
      </w:r>
      <w:r>
        <w:rPr>
          <w:rFonts w:hint="eastAsia" w:ascii="仿宋" w:hAnsi="仿宋" w:eastAsia="仿宋" w:cs="Helvetica"/>
          <w:kern w:val="0"/>
          <w:sz w:val="32"/>
          <w:szCs w:val="32"/>
        </w:rPr>
        <w:t>国有企业以并购、合营、参股方式进行境外投资，应当组建包括行业、财务、税收、法律、国际政治等领域专家在内的团队或者委托具有能力并与委托方无利害关系的</w:t>
      </w:r>
      <w:r>
        <w:rPr>
          <w:rFonts w:hint="eastAsia" w:ascii="仿宋" w:hAnsi="仿宋" w:eastAsia="仿宋" w:cs="Helvetica"/>
          <w:b/>
          <w:bCs/>
          <w:kern w:val="0"/>
          <w:sz w:val="32"/>
          <w:szCs w:val="32"/>
        </w:rPr>
        <w:t>中介机构</w:t>
      </w:r>
      <w:r>
        <w:rPr>
          <w:rFonts w:hint="eastAsia" w:ascii="仿宋" w:hAnsi="仿宋" w:eastAsia="仿宋" w:cs="Helvetica"/>
          <w:kern w:val="0"/>
          <w:sz w:val="32"/>
          <w:szCs w:val="32"/>
        </w:rPr>
        <w:t>开展尽职调查并形成书面报告。[第十一条]</w:t>
      </w:r>
    </w:p>
    <w:p w14:paraId="25E83A27">
      <w:pPr>
        <w:widowControl/>
        <w:shd w:val="clear" w:color="auto" w:fill="FFFFFF"/>
        <w:ind w:firstLine="643" w:firstLineChars="200"/>
        <w:rPr>
          <w:rFonts w:ascii="仿宋" w:hAnsi="仿宋" w:eastAsia="仿宋" w:cs="Helvetica"/>
          <w:kern w:val="0"/>
          <w:sz w:val="32"/>
          <w:szCs w:val="32"/>
        </w:rPr>
      </w:pPr>
      <w:r>
        <w:rPr>
          <w:rFonts w:hint="eastAsia" w:ascii="仿宋" w:hAnsi="仿宋" w:eastAsia="仿宋" w:cs="Helvetica"/>
          <w:b/>
          <w:kern w:val="0"/>
          <w:sz w:val="32"/>
          <w:szCs w:val="32"/>
        </w:rPr>
        <w:t>业务拓展建议：</w:t>
      </w:r>
      <w:r>
        <w:rPr>
          <w:rFonts w:hint="eastAsia" w:ascii="仿宋" w:hAnsi="仿宋" w:eastAsia="仿宋" w:cs="Helvetica"/>
          <w:kern w:val="0"/>
          <w:sz w:val="32"/>
          <w:szCs w:val="32"/>
        </w:rPr>
        <w:t>1.</w:t>
      </w:r>
      <w:r>
        <w:rPr>
          <w:rFonts w:ascii="仿宋" w:hAnsi="仿宋" w:eastAsia="仿宋" w:cs="Helvetica"/>
          <w:kern w:val="0"/>
          <w:sz w:val="32"/>
          <w:szCs w:val="32"/>
        </w:rPr>
        <w:t>协助国有企业进行境外投资的尽职调查，形成书面报告。</w:t>
      </w:r>
      <w:r>
        <w:rPr>
          <w:rFonts w:hint="eastAsia" w:ascii="仿宋" w:hAnsi="仿宋" w:eastAsia="仿宋" w:cs="Helvetica"/>
          <w:kern w:val="0"/>
          <w:sz w:val="32"/>
          <w:szCs w:val="32"/>
        </w:rPr>
        <w:t>2.</w:t>
      </w:r>
      <w:r>
        <w:rPr>
          <w:rFonts w:ascii="仿宋" w:hAnsi="仿宋" w:eastAsia="仿宋" w:cs="Helvetica"/>
          <w:kern w:val="0"/>
          <w:sz w:val="32"/>
          <w:szCs w:val="32"/>
        </w:rPr>
        <w:t>提供境外投资税务风险管理咨询服务帮助企业合理规划，避免双重征税</w:t>
      </w:r>
      <w:r>
        <w:rPr>
          <w:rFonts w:hint="eastAsia" w:ascii="仿宋" w:hAnsi="仿宋" w:eastAsia="仿宋" w:cs="Helvetica"/>
          <w:kern w:val="0"/>
          <w:sz w:val="32"/>
          <w:szCs w:val="32"/>
        </w:rPr>
        <w:t xml:space="preserve">。 </w:t>
      </w:r>
    </w:p>
    <w:p w14:paraId="5299253F">
      <w:pPr>
        <w:widowControl/>
        <w:shd w:val="clear" w:color="auto" w:fill="FFFFFF"/>
        <w:ind w:firstLine="643" w:firstLineChars="200"/>
        <w:rPr>
          <w:rFonts w:ascii="楷体" w:hAnsi="楷体" w:eastAsia="楷体" w:cs="微软雅黑"/>
          <w:b/>
          <w:sz w:val="32"/>
          <w:szCs w:val="32"/>
        </w:rPr>
      </w:pPr>
      <w:r>
        <w:rPr>
          <w:rFonts w:hint="eastAsia" w:ascii="楷体" w:hAnsi="楷体" w:eastAsia="楷体" w:cs="微软雅黑"/>
          <w:b/>
          <w:sz w:val="32"/>
          <w:szCs w:val="32"/>
        </w:rPr>
        <w:t>（十）受金融机构委托，开展尽职调查</w:t>
      </w:r>
    </w:p>
    <w:p w14:paraId="3F263306">
      <w:pPr>
        <w:pStyle w:val="28"/>
        <w:spacing w:before="0" w:beforeAutospacing="0" w:after="0" w:afterAutospacing="0"/>
        <w:ind w:firstLine="643" w:firstLineChars="200"/>
        <w:rPr>
          <w:rFonts w:ascii="仿宋" w:hAnsi="仿宋" w:eastAsia="仿宋" w:cs="Helvetica"/>
          <w:sz w:val="32"/>
          <w:szCs w:val="32"/>
        </w:rPr>
      </w:pPr>
      <w:r>
        <w:rPr>
          <w:rFonts w:hint="eastAsia" w:ascii="仿宋" w:hAnsi="仿宋" w:eastAsia="仿宋" w:cs="Helvetica"/>
          <w:b/>
          <w:sz w:val="32"/>
          <w:szCs w:val="32"/>
        </w:rPr>
        <w:t>规范依据：</w:t>
      </w:r>
      <w:r>
        <w:fldChar w:fldCharType="begin"/>
      </w:r>
      <w:r>
        <w:instrText xml:space="preserve"> HYPERLINK "https://www.pkulaw.com/chl/161f7d1c63743167bdfb.html?keyword=%E5%85%B3%E4%BA%8E%E5%8F%91%E5%B8%83%3C%E9%9D%9E%E5%B1%85%E6%B0%91%E9%87%91%E8%9E%8D%E8%B4%A6%E6%88%B7%E6%B6%89%E7%A8%8E%E4%BF%A1%E6%81%AF%E5%B0%BD%E8%81%8C%E8%B0%83%E6%9F%A5%E7%AE%A1%E7%90%86%E5%8A%9E%E6%B3%95%3E%E7%9A%84%E5%85%AC%E5%91%8A&amp;way=listView" \t "_blank" </w:instrText>
      </w:r>
      <w:r>
        <w:fldChar w:fldCharType="separate"/>
      </w:r>
      <w:r>
        <w:rPr>
          <w:rFonts w:ascii="仿宋" w:hAnsi="仿宋" w:eastAsia="仿宋" w:cs="Helvetica"/>
          <w:sz w:val="32"/>
          <w:szCs w:val="32"/>
        </w:rPr>
        <w:t>国家税务总局、财政部、人民银行等关于发布《非居民金融账户涉税信息尽职调查管理办法》的公告</w:t>
      </w:r>
      <w:r>
        <w:rPr>
          <w:rFonts w:ascii="仿宋" w:hAnsi="仿宋" w:eastAsia="仿宋" w:cs="Helvetica"/>
          <w:sz w:val="32"/>
          <w:szCs w:val="32"/>
        </w:rPr>
        <w:fldChar w:fldCharType="end"/>
      </w:r>
      <w:r>
        <w:rPr>
          <w:rFonts w:hint="eastAsia" w:ascii="仿宋" w:hAnsi="仿宋" w:eastAsia="仿宋" w:cs="Helvetica"/>
          <w:sz w:val="32"/>
          <w:szCs w:val="32"/>
        </w:rPr>
        <w:t>（国家税务总局、财政部、人民银行、银监会、证监会、保监会公告2017年第14号）</w:t>
      </w:r>
    </w:p>
    <w:p w14:paraId="590D4EBA">
      <w:pPr>
        <w:pStyle w:val="28"/>
        <w:spacing w:before="0" w:beforeAutospacing="0" w:after="0" w:afterAutospacing="0"/>
        <w:ind w:firstLine="643" w:firstLineChars="200"/>
        <w:jc w:val="both"/>
        <w:rPr>
          <w:rFonts w:ascii="仿宋" w:hAnsi="仿宋" w:eastAsia="仿宋" w:cs="微软雅黑"/>
          <w:sz w:val="32"/>
          <w:szCs w:val="32"/>
        </w:rPr>
      </w:pPr>
      <w:r>
        <w:rPr>
          <w:rFonts w:hint="eastAsia" w:ascii="仿宋" w:hAnsi="仿宋" w:eastAsia="仿宋" w:cs="微软雅黑"/>
          <w:b/>
          <w:sz w:val="32"/>
          <w:szCs w:val="32"/>
        </w:rPr>
        <w:t>具体内容：</w:t>
      </w:r>
      <w:r>
        <w:rPr>
          <w:rFonts w:hint="eastAsia" w:ascii="仿宋" w:hAnsi="仿宋" w:eastAsia="仿宋" w:cs="微软雅黑"/>
          <w:sz w:val="32"/>
          <w:szCs w:val="32"/>
        </w:rPr>
        <w:t>金融机构可以委托</w:t>
      </w:r>
      <w:r>
        <w:rPr>
          <w:rFonts w:hint="eastAsia" w:ascii="仿宋" w:hAnsi="仿宋" w:eastAsia="仿宋" w:cs="微软雅黑"/>
          <w:b/>
          <w:sz w:val="32"/>
          <w:szCs w:val="32"/>
        </w:rPr>
        <w:t>第三方</w:t>
      </w:r>
      <w:r>
        <w:rPr>
          <w:rFonts w:hint="eastAsia" w:ascii="仿宋" w:hAnsi="仿宋" w:eastAsia="仿宋" w:cs="微软雅黑"/>
          <w:sz w:val="32"/>
          <w:szCs w:val="32"/>
        </w:rPr>
        <w:t>开展尽职调查，但相关责任仍应当由金融机构承担。[第三十一条]</w:t>
      </w:r>
    </w:p>
    <w:p w14:paraId="5006B807">
      <w:pPr>
        <w:pStyle w:val="28"/>
        <w:spacing w:before="0" w:beforeAutospacing="0" w:after="0" w:afterAutospacing="0"/>
        <w:ind w:firstLine="643" w:firstLineChars="200"/>
        <w:rPr>
          <w:rFonts w:ascii="仿宋" w:hAnsi="仿宋" w:eastAsia="仿宋" w:cs="Helvetica"/>
          <w:b/>
          <w:sz w:val="32"/>
          <w:szCs w:val="32"/>
        </w:rPr>
      </w:pPr>
      <w:r>
        <w:rPr>
          <w:rFonts w:hint="eastAsia" w:ascii="仿宋" w:hAnsi="仿宋" w:eastAsia="仿宋" w:cs="Helvetica"/>
          <w:b/>
          <w:sz w:val="32"/>
          <w:szCs w:val="32"/>
        </w:rPr>
        <w:t>业务拓展建议：</w:t>
      </w:r>
      <w:r>
        <w:rPr>
          <w:rFonts w:hint="eastAsia" w:ascii="仿宋" w:hAnsi="仿宋" w:eastAsia="仿宋" w:cs="Helvetica"/>
          <w:sz w:val="32"/>
          <w:szCs w:val="32"/>
        </w:rPr>
        <w:t>1.</w:t>
      </w:r>
      <w:r>
        <w:rPr>
          <w:rFonts w:ascii="仿宋" w:hAnsi="仿宋" w:eastAsia="仿宋" w:cs="Helvetica"/>
          <w:sz w:val="32"/>
          <w:szCs w:val="32"/>
        </w:rPr>
        <w:t>为金融机构提供关于非居民金融账户尽职调查的专业服务。</w:t>
      </w:r>
      <w:r>
        <w:rPr>
          <w:rFonts w:hint="eastAsia" w:ascii="仿宋" w:hAnsi="仿宋" w:eastAsia="仿宋" w:cs="Helvetica"/>
          <w:sz w:val="32"/>
          <w:szCs w:val="32"/>
        </w:rPr>
        <w:t>2.</w:t>
      </w:r>
      <w:r>
        <w:rPr>
          <w:rFonts w:ascii="仿宋" w:hAnsi="仿宋" w:eastAsia="仿宋" w:cs="Helvetica"/>
          <w:sz w:val="32"/>
          <w:szCs w:val="32"/>
        </w:rPr>
        <w:t>为跨国经营的金融机构提供国际税务</w:t>
      </w:r>
      <w:r>
        <w:rPr>
          <w:rFonts w:hint="eastAsia" w:ascii="仿宋" w:hAnsi="仿宋" w:eastAsia="仿宋" w:cs="Helvetica"/>
          <w:sz w:val="32"/>
          <w:szCs w:val="32"/>
        </w:rPr>
        <w:t>咨询</w:t>
      </w:r>
      <w:r>
        <w:rPr>
          <w:rFonts w:ascii="仿宋" w:hAnsi="仿宋" w:eastAsia="仿宋" w:cs="Helvetica"/>
          <w:sz w:val="32"/>
          <w:szCs w:val="32"/>
        </w:rPr>
        <w:t>服务。</w:t>
      </w:r>
    </w:p>
    <w:p w14:paraId="41D47510">
      <w:pPr>
        <w:pStyle w:val="28"/>
        <w:spacing w:before="0" w:beforeAutospacing="0" w:after="0" w:afterAutospacing="0"/>
        <w:ind w:firstLine="643" w:firstLineChars="200"/>
        <w:rPr>
          <w:rFonts w:ascii="楷体" w:hAnsi="楷体" w:eastAsia="楷体" w:cs="微软雅黑"/>
          <w:b/>
          <w:sz w:val="32"/>
          <w:szCs w:val="32"/>
        </w:rPr>
      </w:pPr>
      <w:r>
        <w:rPr>
          <w:rFonts w:hint="eastAsia" w:ascii="楷体" w:hAnsi="楷体" w:eastAsia="楷体" w:cs="微软雅黑"/>
          <w:b/>
          <w:sz w:val="32"/>
          <w:szCs w:val="32"/>
        </w:rPr>
        <w:t>（十一）受登记机关委托，开展审计、咨询工作</w:t>
      </w:r>
    </w:p>
    <w:p w14:paraId="49E9F6BC">
      <w:pPr>
        <w:pStyle w:val="28"/>
        <w:spacing w:before="0" w:beforeAutospacing="0" w:after="0" w:afterAutospacing="0"/>
        <w:ind w:firstLine="643" w:firstLineChars="200"/>
        <w:jc w:val="both"/>
        <w:rPr>
          <w:rFonts w:ascii="仿宋" w:hAnsi="仿宋" w:eastAsia="仿宋" w:cs="微软雅黑"/>
          <w:sz w:val="32"/>
          <w:szCs w:val="32"/>
        </w:rPr>
      </w:pPr>
      <w:r>
        <w:rPr>
          <w:rFonts w:hint="eastAsia" w:ascii="仿宋" w:hAnsi="仿宋" w:eastAsia="仿宋" w:cs="微软雅黑"/>
          <w:b/>
          <w:sz w:val="32"/>
          <w:szCs w:val="32"/>
        </w:rPr>
        <w:t>规范依据：</w:t>
      </w:r>
      <w:r>
        <w:fldChar w:fldCharType="begin"/>
      </w:r>
      <w:r>
        <w:instrText xml:space="preserve"> HYPERLINK "https://www.pkulaw.com/chl/ae6eb7360276b5a5bdfb.html?keyword=%E6%B0%91%E6%94%BF%E9%83%A8%E5%85%B3%E4%BA%8E%E5%8D%B0%E5%8F%91%3C%E7%A4%BE%E4%BC%9A%E7%BB%84%E7%BB%87%E6%8A%BD%E6%9F%A5%E6%9A%82%E8%A1%8C%E5%8A%9E%E6%B3%95%3E%E7%9A%84%E9%80%9A%E7%9F%A5%E3%80%8B&amp;way=listView" \t "_blank" </w:instrText>
      </w:r>
      <w:r>
        <w:fldChar w:fldCharType="separate"/>
      </w:r>
      <w:r>
        <w:rPr>
          <w:rFonts w:ascii="仿宋" w:hAnsi="仿宋" w:eastAsia="仿宋" w:cs="微软雅黑"/>
          <w:sz w:val="32"/>
          <w:szCs w:val="32"/>
        </w:rPr>
        <w:t>民政部关于印发《社会组织抽查暂行办法》的通知</w:t>
      </w:r>
      <w:r>
        <w:rPr>
          <w:rFonts w:ascii="仿宋" w:hAnsi="仿宋" w:eastAsia="仿宋" w:cs="微软雅黑"/>
          <w:sz w:val="32"/>
          <w:szCs w:val="32"/>
        </w:rPr>
        <w:fldChar w:fldCharType="end"/>
      </w:r>
      <w:r>
        <w:rPr>
          <w:rFonts w:hint="eastAsia" w:ascii="仿宋" w:hAnsi="仿宋" w:eastAsia="仿宋" w:cs="微软雅黑"/>
          <w:sz w:val="32"/>
          <w:szCs w:val="32"/>
        </w:rPr>
        <w:t>（民发〔2017〕45号）</w:t>
      </w:r>
    </w:p>
    <w:p w14:paraId="1ED37D1E">
      <w:pPr>
        <w:pStyle w:val="28"/>
        <w:spacing w:before="0" w:beforeAutospacing="0" w:after="0" w:afterAutospacing="0"/>
        <w:ind w:firstLine="643" w:firstLineChars="200"/>
        <w:jc w:val="both"/>
        <w:rPr>
          <w:rFonts w:ascii="仿宋" w:hAnsi="仿宋" w:eastAsia="仿宋" w:cs="微软雅黑"/>
          <w:sz w:val="32"/>
          <w:szCs w:val="32"/>
        </w:rPr>
      </w:pPr>
      <w:r>
        <w:rPr>
          <w:rFonts w:hint="eastAsia" w:ascii="仿宋" w:hAnsi="仿宋" w:eastAsia="仿宋" w:cs="微软雅黑"/>
          <w:b/>
          <w:sz w:val="32"/>
          <w:szCs w:val="32"/>
        </w:rPr>
        <w:t>具体内容：</w:t>
      </w:r>
      <w:r>
        <w:rPr>
          <w:rFonts w:hint="eastAsia" w:ascii="仿宋" w:hAnsi="仿宋" w:eastAsia="仿宋" w:cs="微软雅黑"/>
          <w:sz w:val="32"/>
          <w:szCs w:val="32"/>
        </w:rPr>
        <w:t>在抽查工作中，登记管理机关可以委托会计师事务所、</w:t>
      </w:r>
      <w:r>
        <w:rPr>
          <w:rFonts w:hint="eastAsia" w:ascii="仿宋" w:hAnsi="仿宋" w:eastAsia="仿宋" w:cs="微软雅黑"/>
          <w:b/>
          <w:sz w:val="32"/>
          <w:szCs w:val="32"/>
        </w:rPr>
        <w:t>税务师事务所</w:t>
      </w:r>
      <w:r>
        <w:rPr>
          <w:rFonts w:hint="eastAsia" w:ascii="仿宋" w:hAnsi="仿宋" w:eastAsia="仿宋" w:cs="微软雅黑"/>
          <w:sz w:val="32"/>
          <w:szCs w:val="32"/>
        </w:rPr>
        <w:t>、律师事务所等专业机构开展审计、咨询等相关工作。[第八条]</w:t>
      </w:r>
    </w:p>
    <w:p w14:paraId="1316B995">
      <w:pPr>
        <w:pStyle w:val="28"/>
        <w:spacing w:before="0" w:beforeAutospacing="0" w:after="0" w:afterAutospacing="0"/>
        <w:ind w:firstLine="640" w:firstLineChars="200"/>
        <w:jc w:val="both"/>
        <w:rPr>
          <w:rFonts w:ascii="仿宋" w:hAnsi="仿宋" w:eastAsia="仿宋" w:cs="微软雅黑"/>
          <w:sz w:val="32"/>
          <w:szCs w:val="32"/>
        </w:rPr>
      </w:pPr>
      <w:r>
        <w:rPr>
          <w:rFonts w:hint="eastAsia" w:ascii="仿宋" w:hAnsi="仿宋" w:eastAsia="仿宋" w:cs="微软雅黑"/>
          <w:sz w:val="32"/>
          <w:szCs w:val="32"/>
        </w:rPr>
        <w:t>会计师事务所、</w:t>
      </w:r>
      <w:r>
        <w:rPr>
          <w:rFonts w:hint="eastAsia" w:ascii="仿宋" w:hAnsi="仿宋" w:eastAsia="仿宋" w:cs="微软雅黑"/>
          <w:b/>
          <w:sz w:val="32"/>
          <w:szCs w:val="32"/>
        </w:rPr>
        <w:t>税务师事务所</w:t>
      </w:r>
      <w:r>
        <w:rPr>
          <w:rFonts w:hint="eastAsia" w:ascii="仿宋" w:hAnsi="仿宋" w:eastAsia="仿宋" w:cs="微软雅黑"/>
          <w:sz w:val="32"/>
          <w:szCs w:val="32"/>
        </w:rPr>
        <w:t>、律师事务所等专业机构受委托现场开展相关工作时，工作人员不得少于两人，应当出示相关工作证件、检查通知书及委托证明。[第十一条]</w:t>
      </w:r>
    </w:p>
    <w:p w14:paraId="59AEE971">
      <w:pPr>
        <w:pStyle w:val="28"/>
        <w:spacing w:before="0" w:beforeAutospacing="0" w:after="0" w:afterAutospacing="0"/>
        <w:ind w:firstLine="643" w:firstLineChars="200"/>
        <w:rPr>
          <w:rFonts w:ascii="仿宋" w:hAnsi="仿宋" w:eastAsia="仿宋" w:cs="Helvetica"/>
          <w:sz w:val="32"/>
          <w:szCs w:val="32"/>
        </w:rPr>
      </w:pPr>
      <w:r>
        <w:rPr>
          <w:rFonts w:hint="eastAsia" w:ascii="仿宋" w:hAnsi="仿宋" w:eastAsia="仿宋" w:cs="Helvetica"/>
          <w:b/>
          <w:sz w:val="32"/>
          <w:szCs w:val="32"/>
        </w:rPr>
        <w:t>业务拓展建议：</w:t>
      </w:r>
      <w:r>
        <w:rPr>
          <w:rFonts w:hint="eastAsia" w:ascii="仿宋" w:hAnsi="仿宋" w:eastAsia="仿宋" w:cs="Helvetica"/>
          <w:sz w:val="32"/>
          <w:szCs w:val="32"/>
        </w:rPr>
        <w:t>1.受登记机关委托，开展审计、咨询等相关工作。2.为社会组织提供财税风险评估。</w:t>
      </w:r>
    </w:p>
    <w:p w14:paraId="63D68BDC">
      <w:pPr>
        <w:pStyle w:val="28"/>
        <w:spacing w:before="0" w:beforeAutospacing="0" w:after="0" w:afterAutospacing="0"/>
        <w:ind w:firstLine="640" w:firstLineChars="200"/>
        <w:rPr>
          <w:rFonts w:ascii="黑体" w:hAnsi="黑体" w:eastAsia="黑体"/>
          <w:sz w:val="32"/>
          <w:szCs w:val="32"/>
        </w:rPr>
      </w:pPr>
      <w:r>
        <w:rPr>
          <w:rFonts w:hint="eastAsia" w:ascii="仿宋" w:hAnsi="仿宋" w:eastAsia="仿宋" w:cs="Helvetica"/>
          <w:sz w:val="32"/>
          <w:szCs w:val="32"/>
        </w:rPr>
        <w:t xml:space="preserve"> </w:t>
      </w:r>
      <w:r>
        <w:rPr>
          <w:rFonts w:hint="eastAsia" w:ascii="黑体" w:hAnsi="黑体" w:eastAsia="黑体"/>
          <w:sz w:val="32"/>
          <w:szCs w:val="32"/>
        </w:rPr>
        <w:t>四、依据地方性法规、地方规范性文件、地方政府规章可拓展的业务领域</w:t>
      </w:r>
    </w:p>
    <w:p w14:paraId="4B0D5F19">
      <w:pPr>
        <w:pStyle w:val="28"/>
        <w:spacing w:before="0" w:beforeAutospacing="0" w:after="0" w:afterAutospacing="0"/>
        <w:ind w:firstLine="643" w:firstLineChars="200"/>
        <w:rPr>
          <w:rFonts w:ascii="楷体" w:hAnsi="楷体" w:eastAsia="楷体" w:cs="微软雅黑"/>
          <w:b/>
          <w:sz w:val="32"/>
          <w:szCs w:val="32"/>
        </w:rPr>
      </w:pPr>
      <w:r>
        <w:rPr>
          <w:rFonts w:hint="eastAsia" w:ascii="楷体" w:hAnsi="楷体" w:eastAsia="楷体" w:cs="微软雅黑"/>
          <w:b/>
          <w:sz w:val="32"/>
          <w:szCs w:val="32"/>
        </w:rPr>
        <w:t>（一）受创投企业委托，提供尽职调查等专业服务；受有关部门委托，企业提供专业支持</w:t>
      </w:r>
    </w:p>
    <w:p w14:paraId="41DE4FBD">
      <w:pPr>
        <w:widowControl/>
        <w:shd w:val="clear" w:color="auto" w:fill="FFFFFF"/>
        <w:ind w:firstLine="643" w:firstLineChars="200"/>
        <w:rPr>
          <w:rFonts w:ascii="仿宋" w:hAnsi="仿宋" w:eastAsia="仿宋" w:cs="Helvetica"/>
          <w:kern w:val="0"/>
          <w:sz w:val="32"/>
          <w:szCs w:val="32"/>
        </w:rPr>
      </w:pPr>
      <w:r>
        <w:rPr>
          <w:rFonts w:hint="eastAsia" w:ascii="仿宋" w:hAnsi="仿宋" w:eastAsia="仿宋" w:cs="Helvetica"/>
          <w:b/>
          <w:bCs/>
          <w:kern w:val="0"/>
          <w:sz w:val="32"/>
          <w:szCs w:val="32"/>
        </w:rPr>
        <w:t>地方规范依据：</w:t>
      </w:r>
      <w:r>
        <w:rPr>
          <w:rFonts w:hint="eastAsia" w:ascii="仿宋" w:hAnsi="仿宋" w:eastAsia="仿宋" w:cs="Helvetica"/>
          <w:kern w:val="0"/>
          <w:sz w:val="32"/>
          <w:szCs w:val="32"/>
        </w:rPr>
        <w:t>《上海市人民政府办公厅关于进一步推动上海创业投资高质量发展的若干意见》（沪府办规〔2024〕10号）</w:t>
      </w:r>
    </w:p>
    <w:p w14:paraId="513E70FE">
      <w:pPr>
        <w:ind w:firstLine="643" w:firstLineChars="200"/>
        <w:rPr>
          <w:rFonts w:ascii="仿宋" w:hAnsi="仿宋" w:eastAsia="仿宋" w:cs="Helvetica"/>
          <w:kern w:val="0"/>
          <w:sz w:val="32"/>
          <w:szCs w:val="32"/>
        </w:rPr>
      </w:pPr>
      <w:r>
        <w:rPr>
          <w:rFonts w:hint="eastAsia" w:ascii="仿宋" w:hAnsi="仿宋" w:eastAsia="仿宋" w:cs="Helvetica"/>
          <w:b/>
          <w:bCs/>
          <w:kern w:val="0"/>
          <w:sz w:val="32"/>
          <w:szCs w:val="32"/>
        </w:rPr>
        <w:t>具体内容：</w:t>
      </w:r>
      <w:r>
        <w:rPr>
          <w:rFonts w:hint="eastAsia" w:ascii="仿宋" w:hAnsi="仿宋" w:eastAsia="仿宋" w:cs="Helvetica"/>
          <w:kern w:val="0"/>
          <w:sz w:val="32"/>
          <w:szCs w:val="32"/>
        </w:rPr>
        <w:t>健全创业投资服务体系。支持</w:t>
      </w:r>
      <w:r>
        <w:rPr>
          <w:rFonts w:hint="eastAsia" w:ascii="仿宋" w:hAnsi="仿宋" w:eastAsia="仿宋" w:cs="Helvetica"/>
          <w:b/>
          <w:bCs/>
          <w:kern w:val="0"/>
          <w:sz w:val="32"/>
          <w:szCs w:val="32"/>
        </w:rPr>
        <w:t>中介服务机构</w:t>
      </w:r>
      <w:r>
        <w:rPr>
          <w:rFonts w:hint="eastAsia" w:ascii="仿宋" w:hAnsi="仿宋" w:eastAsia="仿宋" w:cs="Helvetica"/>
          <w:kern w:val="0"/>
          <w:sz w:val="32"/>
          <w:szCs w:val="32"/>
        </w:rPr>
        <w:t>为创业投资企业提供尽职调查、形势分析、项目评估、技术经纪、信息服务、财务及法律咨询等服务。支持有关部门引入</w:t>
      </w:r>
      <w:r>
        <w:rPr>
          <w:rFonts w:hint="eastAsia" w:ascii="仿宋" w:hAnsi="仿宋" w:eastAsia="仿宋" w:cs="Helvetica"/>
          <w:b/>
          <w:bCs/>
          <w:kern w:val="0"/>
          <w:sz w:val="32"/>
          <w:szCs w:val="32"/>
        </w:rPr>
        <w:t>专业中介机构</w:t>
      </w:r>
      <w:r>
        <w:rPr>
          <w:rFonts w:hint="eastAsia" w:ascii="仿宋" w:hAnsi="仿宋" w:eastAsia="仿宋" w:cs="Helvetica"/>
          <w:kern w:val="0"/>
          <w:sz w:val="32"/>
          <w:szCs w:val="32"/>
        </w:rPr>
        <w:t>开展创业投资相关的审计、咨询、事中事后管理等工作，逐步健全中介机构服务体系建设。[第五条第五款]</w:t>
      </w:r>
    </w:p>
    <w:p w14:paraId="21E7A0FF">
      <w:pPr>
        <w:ind w:firstLine="630" w:firstLineChars="196"/>
        <w:rPr>
          <w:rFonts w:hint="eastAsia" w:ascii="楷体" w:hAnsi="楷体" w:eastAsia="楷体" w:cs="微软雅黑"/>
          <w:b/>
          <w:sz w:val="32"/>
          <w:szCs w:val="32"/>
        </w:rPr>
      </w:pPr>
      <w:r>
        <w:rPr>
          <w:rFonts w:hint="eastAsia" w:ascii="仿宋" w:hAnsi="仿宋" w:eastAsia="仿宋" w:cs="Helvetica"/>
          <w:b/>
          <w:kern w:val="0"/>
          <w:sz w:val="32"/>
          <w:szCs w:val="32"/>
        </w:rPr>
        <w:t>业务拓展建议：</w:t>
      </w:r>
      <w:r>
        <w:rPr>
          <w:rFonts w:hint="eastAsia" w:ascii="仿宋" w:hAnsi="仿宋" w:eastAsia="仿宋" w:cs="Helvetica"/>
          <w:kern w:val="0"/>
          <w:sz w:val="32"/>
          <w:szCs w:val="32"/>
        </w:rPr>
        <w:t>1.为创业投资企业提供尽职调查、形势分析、项目评估、技术经纪、信息服务、财务及法律咨询等服务</w:t>
      </w:r>
      <w:r>
        <w:rPr>
          <w:rFonts w:ascii="仿宋" w:hAnsi="仿宋" w:eastAsia="仿宋" w:cs="Helvetica"/>
          <w:kern w:val="0"/>
          <w:sz w:val="32"/>
          <w:szCs w:val="32"/>
        </w:rPr>
        <w:t>。</w:t>
      </w:r>
      <w:r>
        <w:rPr>
          <w:rFonts w:hint="eastAsia" w:ascii="仿宋" w:hAnsi="仿宋" w:eastAsia="仿宋" w:cs="Helvetica"/>
          <w:kern w:val="0"/>
          <w:sz w:val="32"/>
          <w:szCs w:val="32"/>
        </w:rPr>
        <w:t>2.为有关部门提供与创业投资相关的审计、咨询、事中事后管理等服务</w:t>
      </w:r>
      <w:r>
        <w:rPr>
          <w:rFonts w:ascii="仿宋" w:hAnsi="仿宋" w:eastAsia="仿宋" w:cs="Helvetica"/>
          <w:kern w:val="0"/>
          <w:sz w:val="32"/>
          <w:szCs w:val="32"/>
        </w:rPr>
        <w:t>。</w:t>
      </w:r>
      <w:bookmarkStart w:id="9" w:name="tiao_27_kuan_1"/>
      <w:bookmarkEnd w:id="9"/>
    </w:p>
    <w:p w14:paraId="4A9AA7CC">
      <w:pPr>
        <w:pStyle w:val="28"/>
        <w:spacing w:before="0" w:beforeAutospacing="0" w:after="0" w:afterAutospacing="0"/>
        <w:ind w:firstLine="643" w:firstLineChars="200"/>
        <w:rPr>
          <w:rFonts w:ascii="楷体" w:hAnsi="楷体" w:eastAsia="楷体" w:cs="微软雅黑"/>
          <w:b/>
          <w:sz w:val="32"/>
          <w:szCs w:val="32"/>
        </w:rPr>
      </w:pPr>
      <w:r>
        <w:rPr>
          <w:rFonts w:hint="eastAsia" w:ascii="楷体" w:hAnsi="楷体" w:eastAsia="楷体" w:cs="微软雅黑"/>
          <w:b/>
          <w:sz w:val="32"/>
          <w:szCs w:val="32"/>
        </w:rPr>
        <w:t>（二）为市场主体提供登记托管相关服务</w:t>
      </w:r>
    </w:p>
    <w:p w14:paraId="68DC909B">
      <w:pPr>
        <w:pStyle w:val="28"/>
        <w:spacing w:before="0" w:beforeAutospacing="0" w:after="0" w:afterAutospacing="0"/>
        <w:ind w:firstLine="643" w:firstLineChars="200"/>
        <w:rPr>
          <w:rFonts w:ascii="仿宋" w:hAnsi="仿宋" w:eastAsia="仿宋" w:cs="Helvetica"/>
          <w:sz w:val="32"/>
          <w:szCs w:val="32"/>
        </w:rPr>
      </w:pPr>
      <w:r>
        <w:rPr>
          <w:rFonts w:hint="eastAsia" w:ascii="仿宋" w:hAnsi="仿宋" w:eastAsia="仿宋"/>
          <w:b/>
          <w:sz w:val="32"/>
          <w:szCs w:val="32"/>
        </w:rPr>
        <w:t>地区法规依据：</w:t>
      </w:r>
      <w:r>
        <w:rPr>
          <w:rFonts w:hint="eastAsia" w:ascii="仿宋" w:hAnsi="仿宋" w:eastAsia="仿宋" w:cs="Helvetica"/>
          <w:sz w:val="32"/>
          <w:szCs w:val="32"/>
        </w:rPr>
        <w:t>《</w:t>
      </w:r>
      <w:r>
        <w:rPr>
          <w:rFonts w:ascii="仿宋" w:hAnsi="仿宋" w:eastAsia="仿宋" w:cs="Helvetica"/>
          <w:sz w:val="32"/>
          <w:szCs w:val="32"/>
        </w:rPr>
        <w:t>上海市浦东新区市场主体登记确认制若干规定</w:t>
      </w:r>
      <w:r>
        <w:rPr>
          <w:rFonts w:hint="eastAsia" w:ascii="仿宋" w:hAnsi="仿宋" w:eastAsia="仿宋" w:cs="Helvetica"/>
          <w:sz w:val="32"/>
          <w:szCs w:val="32"/>
        </w:rPr>
        <w:t>》</w:t>
      </w:r>
      <w:r>
        <w:rPr>
          <w:rFonts w:hint="eastAsia" w:ascii="仿宋" w:hAnsi="仿宋" w:eastAsia="仿宋"/>
          <w:sz w:val="32"/>
          <w:szCs w:val="32"/>
        </w:rPr>
        <w:t>(2022)</w:t>
      </w:r>
      <w:r>
        <w:rPr>
          <w:rFonts w:hint="eastAsia" w:ascii="仿宋" w:hAnsi="仿宋" w:eastAsia="仿宋" w:cs="Helvetica"/>
          <w:sz w:val="32"/>
          <w:szCs w:val="32"/>
        </w:rPr>
        <w:t>（</w:t>
      </w:r>
      <w:r>
        <w:rPr>
          <w:rFonts w:ascii="仿宋" w:hAnsi="仿宋" w:eastAsia="仿宋" w:cs="Helvetica"/>
          <w:sz w:val="32"/>
          <w:szCs w:val="32"/>
        </w:rPr>
        <w:t>上海市人民代表大会常务委员会公告〔15届〕第108号</w:t>
      </w:r>
      <w:r>
        <w:rPr>
          <w:rFonts w:hint="eastAsia" w:ascii="仿宋" w:hAnsi="仿宋" w:eastAsia="仿宋" w:cs="Helvetica"/>
          <w:sz w:val="32"/>
          <w:szCs w:val="32"/>
        </w:rPr>
        <w:t>）</w:t>
      </w:r>
    </w:p>
    <w:p w14:paraId="0AA894DB">
      <w:pPr>
        <w:pStyle w:val="28"/>
        <w:spacing w:before="0" w:beforeAutospacing="0" w:after="0" w:afterAutospacing="0"/>
        <w:ind w:firstLine="643" w:firstLineChars="200"/>
        <w:jc w:val="both"/>
        <w:rPr>
          <w:rFonts w:hint="eastAsia" w:ascii="仿宋" w:hAnsi="仿宋" w:eastAsia="仿宋"/>
          <w:b/>
          <w:sz w:val="32"/>
          <w:szCs w:val="32"/>
        </w:rPr>
      </w:pPr>
      <w:r>
        <w:rPr>
          <w:rFonts w:hint="eastAsia" w:ascii="仿宋" w:hAnsi="仿宋" w:eastAsia="仿宋"/>
          <w:b/>
          <w:sz w:val="32"/>
          <w:szCs w:val="32"/>
        </w:rPr>
        <w:t>具体内容：</w:t>
      </w:r>
      <w:bookmarkStart w:id="10" w:name="tiao_12_kuan_1"/>
      <w:bookmarkEnd w:id="10"/>
      <w:r>
        <w:rPr>
          <w:rFonts w:ascii="仿宋" w:hAnsi="仿宋" w:eastAsia="仿宋" w:cs="微软雅黑"/>
          <w:sz w:val="32"/>
          <w:szCs w:val="32"/>
        </w:rPr>
        <w:t>发挥律师事务所、会计师事务所、</w:t>
      </w:r>
      <w:r>
        <w:rPr>
          <w:rFonts w:ascii="仿宋" w:hAnsi="仿宋" w:eastAsia="仿宋" w:cs="微软雅黑"/>
          <w:b/>
          <w:sz w:val="32"/>
          <w:szCs w:val="32"/>
        </w:rPr>
        <w:t>税务师事务所</w:t>
      </w:r>
      <w:r>
        <w:rPr>
          <w:rFonts w:ascii="仿宋" w:hAnsi="仿宋" w:eastAsia="仿宋" w:cs="微软雅黑"/>
          <w:sz w:val="32"/>
          <w:szCs w:val="32"/>
        </w:rPr>
        <w:t>等专业服务机构和有关行业协会等的共治功能，推进市场主体托管机制创新。</w:t>
      </w:r>
      <w:r>
        <w:rPr>
          <w:rFonts w:hint="eastAsia" w:ascii="仿宋" w:hAnsi="仿宋" w:eastAsia="仿宋" w:cs="微软雅黑"/>
          <w:sz w:val="32"/>
          <w:szCs w:val="32"/>
        </w:rPr>
        <w:t>[</w:t>
      </w:r>
      <w:r>
        <w:rPr>
          <w:rFonts w:ascii="仿宋" w:hAnsi="仿宋" w:eastAsia="仿宋" w:cs="微软雅黑"/>
          <w:sz w:val="32"/>
          <w:szCs w:val="32"/>
        </w:rPr>
        <w:t>第十二条</w:t>
      </w:r>
      <w:r>
        <w:rPr>
          <w:rFonts w:hint="eastAsia" w:ascii="仿宋" w:hAnsi="仿宋" w:eastAsia="仿宋" w:cs="微软雅黑"/>
          <w:sz w:val="32"/>
          <w:szCs w:val="32"/>
        </w:rPr>
        <w:t>]</w:t>
      </w:r>
      <w:bookmarkStart w:id="11" w:name="tiao_12_kuan_2"/>
      <w:bookmarkEnd w:id="11"/>
      <w:bookmarkStart w:id="12" w:name="tiao_12_kuan_3"/>
      <w:bookmarkEnd w:id="12"/>
    </w:p>
    <w:p w14:paraId="4C295E97">
      <w:pPr>
        <w:ind w:firstLine="813" w:firstLineChars="253"/>
      </w:pPr>
      <w:r>
        <w:rPr>
          <w:rFonts w:hint="eastAsia" w:ascii="仿宋" w:hAnsi="仿宋" w:eastAsia="仿宋"/>
          <w:b/>
          <w:sz w:val="32"/>
          <w:szCs w:val="32"/>
        </w:rPr>
        <w:t>业务拓展建议：</w:t>
      </w:r>
      <w:r>
        <w:rPr>
          <w:rFonts w:hint="eastAsia" w:ascii="仿宋" w:hAnsi="仿宋" w:eastAsia="仿宋" w:cs="Helvetica"/>
          <w:sz w:val="32"/>
          <w:szCs w:val="32"/>
        </w:rPr>
        <w:t>为市场主体提供登记服务及涉税专业服务</w:t>
      </w:r>
      <w:r>
        <w:rPr>
          <w:rFonts w:ascii="仿宋" w:hAnsi="仿宋" w:eastAsia="仿宋" w:cs="Helvetica"/>
          <w:sz w:val="32"/>
          <w:szCs w:val="32"/>
        </w:rPr>
        <w:t>。</w:t>
      </w:r>
      <w:r>
        <w:rPr>
          <w:rFonts w:hint="eastAsia" w:ascii="仿宋" w:hAnsi="仿宋" w:eastAsia="仿宋" w:cs="Helvetica"/>
          <w:sz w:val="32"/>
          <w:szCs w:val="32"/>
        </w:rPr>
        <w:t xml:space="preserve"> </w:t>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E0002EFF" w:usb1="C000785B" w:usb2="00000009" w:usb3="00000000" w:csb0="0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1" w:cryptProviderType="rsaFull" w:cryptAlgorithmClass="hash" w:cryptAlgorithmType="typeAny" w:cryptAlgorithmSid="4" w:cryptSpinCount="0" w:hash="LBhlXPimQc5gfjU/jRnoXdyl1xs=" w:salt="ItZWwHn+xTKeBhF7r+yj8g=="/>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57D0CBB3-0B64-4C0D-AC1D-782A66BFA767}" w:val="nzXCulT8fJHv4mq60Ep=Rr5eIwaY7F2bixdPLB9jMsWQN/1Z3USVAGkDhK+ocOgty"/>
    <w:docVar w:name="DocumentID" w:val="{02EF15E2-8AE1-4495-8CE4-2611835E85A8}"/>
  </w:docVars>
  <w:rsids>
    <w:rsidRoot w:val="00825CB7"/>
    <w:rsid w:val="000006E5"/>
    <w:rsid w:val="00000D66"/>
    <w:rsid w:val="000016DC"/>
    <w:rsid w:val="00004D78"/>
    <w:rsid w:val="000147CC"/>
    <w:rsid w:val="00025CD9"/>
    <w:rsid w:val="000343F6"/>
    <w:rsid w:val="00041FE3"/>
    <w:rsid w:val="00045D54"/>
    <w:rsid w:val="00050FA2"/>
    <w:rsid w:val="00064BC4"/>
    <w:rsid w:val="00070B5A"/>
    <w:rsid w:val="0007319A"/>
    <w:rsid w:val="000907AF"/>
    <w:rsid w:val="00091ADE"/>
    <w:rsid w:val="00092D79"/>
    <w:rsid w:val="00092F2F"/>
    <w:rsid w:val="00095B31"/>
    <w:rsid w:val="00096187"/>
    <w:rsid w:val="000A0F53"/>
    <w:rsid w:val="000B0DA3"/>
    <w:rsid w:val="000B11E5"/>
    <w:rsid w:val="000B2FDF"/>
    <w:rsid w:val="000B3153"/>
    <w:rsid w:val="000B4C0E"/>
    <w:rsid w:val="000B5A24"/>
    <w:rsid w:val="000B789F"/>
    <w:rsid w:val="000B7DC2"/>
    <w:rsid w:val="000C292F"/>
    <w:rsid w:val="000C3FCA"/>
    <w:rsid w:val="000C51FF"/>
    <w:rsid w:val="000D39E0"/>
    <w:rsid w:val="000E1224"/>
    <w:rsid w:val="000E3519"/>
    <w:rsid w:val="000F049E"/>
    <w:rsid w:val="000F4EDE"/>
    <w:rsid w:val="001010EC"/>
    <w:rsid w:val="0010121D"/>
    <w:rsid w:val="00102B1C"/>
    <w:rsid w:val="00115762"/>
    <w:rsid w:val="00117A87"/>
    <w:rsid w:val="001200C3"/>
    <w:rsid w:val="001205D7"/>
    <w:rsid w:val="00124510"/>
    <w:rsid w:val="0012733A"/>
    <w:rsid w:val="00143886"/>
    <w:rsid w:val="0015527B"/>
    <w:rsid w:val="00155372"/>
    <w:rsid w:val="00157B96"/>
    <w:rsid w:val="0016059C"/>
    <w:rsid w:val="00161B47"/>
    <w:rsid w:val="00171C79"/>
    <w:rsid w:val="0018158D"/>
    <w:rsid w:val="00192890"/>
    <w:rsid w:val="00192E56"/>
    <w:rsid w:val="001957AA"/>
    <w:rsid w:val="001A1C0C"/>
    <w:rsid w:val="001A42B8"/>
    <w:rsid w:val="001A4699"/>
    <w:rsid w:val="001A6D29"/>
    <w:rsid w:val="001B4209"/>
    <w:rsid w:val="001B5032"/>
    <w:rsid w:val="001B6188"/>
    <w:rsid w:val="001B79B0"/>
    <w:rsid w:val="001C0767"/>
    <w:rsid w:val="001C128F"/>
    <w:rsid w:val="001C1436"/>
    <w:rsid w:val="001C22E5"/>
    <w:rsid w:val="001C4C30"/>
    <w:rsid w:val="001C6F3A"/>
    <w:rsid w:val="001D0AA4"/>
    <w:rsid w:val="001D514E"/>
    <w:rsid w:val="001E1310"/>
    <w:rsid w:val="001E66B3"/>
    <w:rsid w:val="001F4D0F"/>
    <w:rsid w:val="001F5B1A"/>
    <w:rsid w:val="00200288"/>
    <w:rsid w:val="0020227D"/>
    <w:rsid w:val="002025FC"/>
    <w:rsid w:val="00205758"/>
    <w:rsid w:val="00214811"/>
    <w:rsid w:val="00221B6B"/>
    <w:rsid w:val="00224B1F"/>
    <w:rsid w:val="0022674D"/>
    <w:rsid w:val="00226F45"/>
    <w:rsid w:val="00227376"/>
    <w:rsid w:val="00227B3D"/>
    <w:rsid w:val="002364F6"/>
    <w:rsid w:val="00240EE0"/>
    <w:rsid w:val="002416EC"/>
    <w:rsid w:val="00242733"/>
    <w:rsid w:val="00256126"/>
    <w:rsid w:val="002604EC"/>
    <w:rsid w:val="002647DC"/>
    <w:rsid w:val="0026747E"/>
    <w:rsid w:val="00275C0C"/>
    <w:rsid w:val="00283E3D"/>
    <w:rsid w:val="00285EBF"/>
    <w:rsid w:val="00291ABF"/>
    <w:rsid w:val="0029383B"/>
    <w:rsid w:val="00295B74"/>
    <w:rsid w:val="002A2C1A"/>
    <w:rsid w:val="002A2E1E"/>
    <w:rsid w:val="002A3766"/>
    <w:rsid w:val="002A7344"/>
    <w:rsid w:val="002B3C8E"/>
    <w:rsid w:val="002B3E74"/>
    <w:rsid w:val="002B4527"/>
    <w:rsid w:val="002C4730"/>
    <w:rsid w:val="002C7796"/>
    <w:rsid w:val="002D6AC3"/>
    <w:rsid w:val="002F3358"/>
    <w:rsid w:val="002F4540"/>
    <w:rsid w:val="00300A10"/>
    <w:rsid w:val="00305EE3"/>
    <w:rsid w:val="003141A7"/>
    <w:rsid w:val="0031594D"/>
    <w:rsid w:val="00326FA8"/>
    <w:rsid w:val="003326D0"/>
    <w:rsid w:val="00334C84"/>
    <w:rsid w:val="0034015E"/>
    <w:rsid w:val="00342F1B"/>
    <w:rsid w:val="003436D5"/>
    <w:rsid w:val="003506A4"/>
    <w:rsid w:val="003538C6"/>
    <w:rsid w:val="00353DDE"/>
    <w:rsid w:val="00355EC6"/>
    <w:rsid w:val="003614F1"/>
    <w:rsid w:val="00361A15"/>
    <w:rsid w:val="003651AF"/>
    <w:rsid w:val="003657CD"/>
    <w:rsid w:val="003772B6"/>
    <w:rsid w:val="00381817"/>
    <w:rsid w:val="00381FB3"/>
    <w:rsid w:val="0038506C"/>
    <w:rsid w:val="003877EE"/>
    <w:rsid w:val="00390FB6"/>
    <w:rsid w:val="00391029"/>
    <w:rsid w:val="00391039"/>
    <w:rsid w:val="00393844"/>
    <w:rsid w:val="003A25FF"/>
    <w:rsid w:val="003A4213"/>
    <w:rsid w:val="003A7696"/>
    <w:rsid w:val="003B536A"/>
    <w:rsid w:val="003B638E"/>
    <w:rsid w:val="003D198F"/>
    <w:rsid w:val="003D2203"/>
    <w:rsid w:val="003D29BC"/>
    <w:rsid w:val="003D644D"/>
    <w:rsid w:val="003D7F2D"/>
    <w:rsid w:val="003E2A36"/>
    <w:rsid w:val="003E2F93"/>
    <w:rsid w:val="003E7C8E"/>
    <w:rsid w:val="0040098A"/>
    <w:rsid w:val="004014A1"/>
    <w:rsid w:val="004115D4"/>
    <w:rsid w:val="00411FE6"/>
    <w:rsid w:val="004128C7"/>
    <w:rsid w:val="00413982"/>
    <w:rsid w:val="00416B75"/>
    <w:rsid w:val="00422917"/>
    <w:rsid w:val="004275C0"/>
    <w:rsid w:val="00432BC8"/>
    <w:rsid w:val="00433172"/>
    <w:rsid w:val="004356AC"/>
    <w:rsid w:val="004415CC"/>
    <w:rsid w:val="004469DA"/>
    <w:rsid w:val="004507F8"/>
    <w:rsid w:val="004522C4"/>
    <w:rsid w:val="00453421"/>
    <w:rsid w:val="0045576E"/>
    <w:rsid w:val="004569B9"/>
    <w:rsid w:val="004627B7"/>
    <w:rsid w:val="00466727"/>
    <w:rsid w:val="00466E3E"/>
    <w:rsid w:val="00470575"/>
    <w:rsid w:val="004713AD"/>
    <w:rsid w:val="00477990"/>
    <w:rsid w:val="00483C9B"/>
    <w:rsid w:val="00491329"/>
    <w:rsid w:val="00494003"/>
    <w:rsid w:val="004A6B77"/>
    <w:rsid w:val="004A73DF"/>
    <w:rsid w:val="004B04F3"/>
    <w:rsid w:val="004B6017"/>
    <w:rsid w:val="004C54DF"/>
    <w:rsid w:val="004D4563"/>
    <w:rsid w:val="004E2D15"/>
    <w:rsid w:val="004E4A42"/>
    <w:rsid w:val="004F675A"/>
    <w:rsid w:val="00501265"/>
    <w:rsid w:val="00501F4E"/>
    <w:rsid w:val="00505484"/>
    <w:rsid w:val="0051681A"/>
    <w:rsid w:val="00516FA7"/>
    <w:rsid w:val="005202CD"/>
    <w:rsid w:val="005258ED"/>
    <w:rsid w:val="00530BA1"/>
    <w:rsid w:val="00534100"/>
    <w:rsid w:val="0053508C"/>
    <w:rsid w:val="00536013"/>
    <w:rsid w:val="00536DEF"/>
    <w:rsid w:val="00540A1A"/>
    <w:rsid w:val="005412B5"/>
    <w:rsid w:val="0055427D"/>
    <w:rsid w:val="00556730"/>
    <w:rsid w:val="00562606"/>
    <w:rsid w:val="00567948"/>
    <w:rsid w:val="005710DB"/>
    <w:rsid w:val="00585DC6"/>
    <w:rsid w:val="00586CE4"/>
    <w:rsid w:val="00587803"/>
    <w:rsid w:val="005B0BD0"/>
    <w:rsid w:val="005B7FBE"/>
    <w:rsid w:val="005C1ABC"/>
    <w:rsid w:val="005C25EF"/>
    <w:rsid w:val="005D4521"/>
    <w:rsid w:val="005F6604"/>
    <w:rsid w:val="00603FBB"/>
    <w:rsid w:val="00611185"/>
    <w:rsid w:val="00614C52"/>
    <w:rsid w:val="00622491"/>
    <w:rsid w:val="006237A5"/>
    <w:rsid w:val="00632A2A"/>
    <w:rsid w:val="00635700"/>
    <w:rsid w:val="00636124"/>
    <w:rsid w:val="0064104C"/>
    <w:rsid w:val="00646155"/>
    <w:rsid w:val="006546E9"/>
    <w:rsid w:val="00657434"/>
    <w:rsid w:val="00664428"/>
    <w:rsid w:val="006702E8"/>
    <w:rsid w:val="00674CC9"/>
    <w:rsid w:val="0068318D"/>
    <w:rsid w:val="006841C2"/>
    <w:rsid w:val="0069130C"/>
    <w:rsid w:val="00692291"/>
    <w:rsid w:val="00692A64"/>
    <w:rsid w:val="00694B83"/>
    <w:rsid w:val="00696345"/>
    <w:rsid w:val="00697908"/>
    <w:rsid w:val="006A449A"/>
    <w:rsid w:val="006A5FA7"/>
    <w:rsid w:val="006B39C4"/>
    <w:rsid w:val="006B6EFE"/>
    <w:rsid w:val="006B71A1"/>
    <w:rsid w:val="006B743F"/>
    <w:rsid w:val="006C015C"/>
    <w:rsid w:val="006C2736"/>
    <w:rsid w:val="006C4E6E"/>
    <w:rsid w:val="006C5B3A"/>
    <w:rsid w:val="006D16A1"/>
    <w:rsid w:val="006D386C"/>
    <w:rsid w:val="006D6A26"/>
    <w:rsid w:val="006E1D73"/>
    <w:rsid w:val="006E2560"/>
    <w:rsid w:val="006F3698"/>
    <w:rsid w:val="006F78D6"/>
    <w:rsid w:val="0070321E"/>
    <w:rsid w:val="00704096"/>
    <w:rsid w:val="00707B54"/>
    <w:rsid w:val="007120B5"/>
    <w:rsid w:val="00713F00"/>
    <w:rsid w:val="007145E5"/>
    <w:rsid w:val="00721474"/>
    <w:rsid w:val="007254AC"/>
    <w:rsid w:val="007255FE"/>
    <w:rsid w:val="007258CF"/>
    <w:rsid w:val="007277E9"/>
    <w:rsid w:val="00727D5E"/>
    <w:rsid w:val="007340E1"/>
    <w:rsid w:val="00746CE2"/>
    <w:rsid w:val="00746CFC"/>
    <w:rsid w:val="007547A8"/>
    <w:rsid w:val="00754972"/>
    <w:rsid w:val="00757990"/>
    <w:rsid w:val="007626DF"/>
    <w:rsid w:val="00765029"/>
    <w:rsid w:val="00765AC5"/>
    <w:rsid w:val="007678D9"/>
    <w:rsid w:val="00767C07"/>
    <w:rsid w:val="00770E96"/>
    <w:rsid w:val="00777A78"/>
    <w:rsid w:val="00782EE4"/>
    <w:rsid w:val="00786A8B"/>
    <w:rsid w:val="007872E2"/>
    <w:rsid w:val="00792280"/>
    <w:rsid w:val="007942FC"/>
    <w:rsid w:val="007972D0"/>
    <w:rsid w:val="00797B17"/>
    <w:rsid w:val="007A1284"/>
    <w:rsid w:val="007B304C"/>
    <w:rsid w:val="007B584E"/>
    <w:rsid w:val="007C3C8D"/>
    <w:rsid w:val="007C70DC"/>
    <w:rsid w:val="007D3C90"/>
    <w:rsid w:val="007D4498"/>
    <w:rsid w:val="007E5DC2"/>
    <w:rsid w:val="007F03F6"/>
    <w:rsid w:val="007F1DC3"/>
    <w:rsid w:val="007F3105"/>
    <w:rsid w:val="007F7FC8"/>
    <w:rsid w:val="008035A0"/>
    <w:rsid w:val="00806B45"/>
    <w:rsid w:val="00811D60"/>
    <w:rsid w:val="00816505"/>
    <w:rsid w:val="00825CB7"/>
    <w:rsid w:val="00827963"/>
    <w:rsid w:val="00832D06"/>
    <w:rsid w:val="00833973"/>
    <w:rsid w:val="008341B8"/>
    <w:rsid w:val="0083690F"/>
    <w:rsid w:val="00836D54"/>
    <w:rsid w:val="0083727D"/>
    <w:rsid w:val="008555BE"/>
    <w:rsid w:val="0085660B"/>
    <w:rsid w:val="0087090C"/>
    <w:rsid w:val="008813EC"/>
    <w:rsid w:val="00881E17"/>
    <w:rsid w:val="0088268C"/>
    <w:rsid w:val="00884D7A"/>
    <w:rsid w:val="00890DD0"/>
    <w:rsid w:val="00892D95"/>
    <w:rsid w:val="00894860"/>
    <w:rsid w:val="00895E22"/>
    <w:rsid w:val="008A552D"/>
    <w:rsid w:val="008A7FBE"/>
    <w:rsid w:val="008B2765"/>
    <w:rsid w:val="008B2AB4"/>
    <w:rsid w:val="008B3B7A"/>
    <w:rsid w:val="008B3EB9"/>
    <w:rsid w:val="008B6B6E"/>
    <w:rsid w:val="008C072C"/>
    <w:rsid w:val="008C6071"/>
    <w:rsid w:val="008C7389"/>
    <w:rsid w:val="008D3DFF"/>
    <w:rsid w:val="008D4752"/>
    <w:rsid w:val="008D7AD7"/>
    <w:rsid w:val="008E1B55"/>
    <w:rsid w:val="008E3185"/>
    <w:rsid w:val="008E366B"/>
    <w:rsid w:val="008F1B04"/>
    <w:rsid w:val="00912679"/>
    <w:rsid w:val="009129B5"/>
    <w:rsid w:val="00921C3C"/>
    <w:rsid w:val="00930373"/>
    <w:rsid w:val="00932103"/>
    <w:rsid w:val="009336E7"/>
    <w:rsid w:val="00942249"/>
    <w:rsid w:val="0095248E"/>
    <w:rsid w:val="009554D1"/>
    <w:rsid w:val="00955B25"/>
    <w:rsid w:val="00957C8F"/>
    <w:rsid w:val="00966024"/>
    <w:rsid w:val="009671F8"/>
    <w:rsid w:val="00967C82"/>
    <w:rsid w:val="009748B5"/>
    <w:rsid w:val="00990226"/>
    <w:rsid w:val="009915AF"/>
    <w:rsid w:val="0099209C"/>
    <w:rsid w:val="0099443B"/>
    <w:rsid w:val="00994CFE"/>
    <w:rsid w:val="009A5890"/>
    <w:rsid w:val="009B2412"/>
    <w:rsid w:val="009B6335"/>
    <w:rsid w:val="009C1170"/>
    <w:rsid w:val="009C5995"/>
    <w:rsid w:val="009C5EB9"/>
    <w:rsid w:val="009C6679"/>
    <w:rsid w:val="009D1277"/>
    <w:rsid w:val="009D376F"/>
    <w:rsid w:val="009F0BA2"/>
    <w:rsid w:val="009F1808"/>
    <w:rsid w:val="009F626B"/>
    <w:rsid w:val="009F64FE"/>
    <w:rsid w:val="00A029E8"/>
    <w:rsid w:val="00A13F59"/>
    <w:rsid w:val="00A17E18"/>
    <w:rsid w:val="00A17F03"/>
    <w:rsid w:val="00A20316"/>
    <w:rsid w:val="00A2314C"/>
    <w:rsid w:val="00A23F47"/>
    <w:rsid w:val="00A27219"/>
    <w:rsid w:val="00A307F0"/>
    <w:rsid w:val="00A30C1D"/>
    <w:rsid w:val="00A35685"/>
    <w:rsid w:val="00A35D0D"/>
    <w:rsid w:val="00A35E62"/>
    <w:rsid w:val="00A453D3"/>
    <w:rsid w:val="00A47FF8"/>
    <w:rsid w:val="00A54CD6"/>
    <w:rsid w:val="00A570A9"/>
    <w:rsid w:val="00A60620"/>
    <w:rsid w:val="00A66181"/>
    <w:rsid w:val="00A80AC1"/>
    <w:rsid w:val="00A8628D"/>
    <w:rsid w:val="00A95E41"/>
    <w:rsid w:val="00A96129"/>
    <w:rsid w:val="00AA3280"/>
    <w:rsid w:val="00AA662E"/>
    <w:rsid w:val="00AA74C7"/>
    <w:rsid w:val="00AA7D7E"/>
    <w:rsid w:val="00AB0714"/>
    <w:rsid w:val="00AB1FC3"/>
    <w:rsid w:val="00AC110D"/>
    <w:rsid w:val="00AC31C7"/>
    <w:rsid w:val="00AC65E9"/>
    <w:rsid w:val="00AD4A51"/>
    <w:rsid w:val="00AD4B8E"/>
    <w:rsid w:val="00AD7B2A"/>
    <w:rsid w:val="00AE10DF"/>
    <w:rsid w:val="00AE132F"/>
    <w:rsid w:val="00AE344E"/>
    <w:rsid w:val="00AE4CBB"/>
    <w:rsid w:val="00AF1DBD"/>
    <w:rsid w:val="00AF5B2E"/>
    <w:rsid w:val="00AF6E44"/>
    <w:rsid w:val="00B02250"/>
    <w:rsid w:val="00B0792E"/>
    <w:rsid w:val="00B1785F"/>
    <w:rsid w:val="00B24E9B"/>
    <w:rsid w:val="00B271D6"/>
    <w:rsid w:val="00B328F3"/>
    <w:rsid w:val="00B351A1"/>
    <w:rsid w:val="00B355E0"/>
    <w:rsid w:val="00B36267"/>
    <w:rsid w:val="00B36B6A"/>
    <w:rsid w:val="00B378FC"/>
    <w:rsid w:val="00B4369C"/>
    <w:rsid w:val="00B445F4"/>
    <w:rsid w:val="00B60E6E"/>
    <w:rsid w:val="00B6194C"/>
    <w:rsid w:val="00B6356B"/>
    <w:rsid w:val="00B654E3"/>
    <w:rsid w:val="00B67919"/>
    <w:rsid w:val="00B7531B"/>
    <w:rsid w:val="00B7692F"/>
    <w:rsid w:val="00B87880"/>
    <w:rsid w:val="00B87BE4"/>
    <w:rsid w:val="00B9115F"/>
    <w:rsid w:val="00B95C09"/>
    <w:rsid w:val="00BA1345"/>
    <w:rsid w:val="00BA53D3"/>
    <w:rsid w:val="00BB553A"/>
    <w:rsid w:val="00BB5B28"/>
    <w:rsid w:val="00BC03D6"/>
    <w:rsid w:val="00BC0BF8"/>
    <w:rsid w:val="00BC303D"/>
    <w:rsid w:val="00BC34E1"/>
    <w:rsid w:val="00BD4BDB"/>
    <w:rsid w:val="00BD4BE3"/>
    <w:rsid w:val="00BD6DD2"/>
    <w:rsid w:val="00BD75D6"/>
    <w:rsid w:val="00BF3809"/>
    <w:rsid w:val="00C02003"/>
    <w:rsid w:val="00C04FCE"/>
    <w:rsid w:val="00C05889"/>
    <w:rsid w:val="00C1213C"/>
    <w:rsid w:val="00C14E22"/>
    <w:rsid w:val="00C15934"/>
    <w:rsid w:val="00C15FA7"/>
    <w:rsid w:val="00C24B9B"/>
    <w:rsid w:val="00C25502"/>
    <w:rsid w:val="00C25862"/>
    <w:rsid w:val="00C26D0E"/>
    <w:rsid w:val="00C3720D"/>
    <w:rsid w:val="00C40B10"/>
    <w:rsid w:val="00C42F7B"/>
    <w:rsid w:val="00C470C8"/>
    <w:rsid w:val="00C5250D"/>
    <w:rsid w:val="00C52515"/>
    <w:rsid w:val="00C56834"/>
    <w:rsid w:val="00C64C35"/>
    <w:rsid w:val="00C80F73"/>
    <w:rsid w:val="00C831E7"/>
    <w:rsid w:val="00C83ADD"/>
    <w:rsid w:val="00C8619F"/>
    <w:rsid w:val="00C86E7E"/>
    <w:rsid w:val="00C91FBE"/>
    <w:rsid w:val="00CA1807"/>
    <w:rsid w:val="00CA4276"/>
    <w:rsid w:val="00CA6B79"/>
    <w:rsid w:val="00CB2096"/>
    <w:rsid w:val="00CB366F"/>
    <w:rsid w:val="00CB51F5"/>
    <w:rsid w:val="00CB5DA0"/>
    <w:rsid w:val="00CB7DAA"/>
    <w:rsid w:val="00CC29BC"/>
    <w:rsid w:val="00CC2BD2"/>
    <w:rsid w:val="00CC53A1"/>
    <w:rsid w:val="00CD0487"/>
    <w:rsid w:val="00CD4750"/>
    <w:rsid w:val="00CD7925"/>
    <w:rsid w:val="00CD7D0F"/>
    <w:rsid w:val="00CE4F95"/>
    <w:rsid w:val="00CE7B09"/>
    <w:rsid w:val="00CF1FD1"/>
    <w:rsid w:val="00CF245B"/>
    <w:rsid w:val="00CF41BC"/>
    <w:rsid w:val="00CF51BD"/>
    <w:rsid w:val="00CF67AD"/>
    <w:rsid w:val="00D04AF6"/>
    <w:rsid w:val="00D1291E"/>
    <w:rsid w:val="00D21978"/>
    <w:rsid w:val="00D25732"/>
    <w:rsid w:val="00D31700"/>
    <w:rsid w:val="00D31B8A"/>
    <w:rsid w:val="00D33DB0"/>
    <w:rsid w:val="00D367BC"/>
    <w:rsid w:val="00D40C1B"/>
    <w:rsid w:val="00D44958"/>
    <w:rsid w:val="00D51ECD"/>
    <w:rsid w:val="00D5677A"/>
    <w:rsid w:val="00D56986"/>
    <w:rsid w:val="00D60100"/>
    <w:rsid w:val="00D652DE"/>
    <w:rsid w:val="00D72697"/>
    <w:rsid w:val="00D73455"/>
    <w:rsid w:val="00D73D0D"/>
    <w:rsid w:val="00D77D50"/>
    <w:rsid w:val="00D86A4A"/>
    <w:rsid w:val="00D86D8C"/>
    <w:rsid w:val="00D87240"/>
    <w:rsid w:val="00D911E5"/>
    <w:rsid w:val="00D95DA1"/>
    <w:rsid w:val="00DA367E"/>
    <w:rsid w:val="00DA389F"/>
    <w:rsid w:val="00DA4512"/>
    <w:rsid w:val="00DA50D3"/>
    <w:rsid w:val="00DB3A0F"/>
    <w:rsid w:val="00DB47B2"/>
    <w:rsid w:val="00DB619B"/>
    <w:rsid w:val="00DC1D01"/>
    <w:rsid w:val="00DD26C0"/>
    <w:rsid w:val="00DD3CFB"/>
    <w:rsid w:val="00DE1423"/>
    <w:rsid w:val="00DE28F0"/>
    <w:rsid w:val="00DE385C"/>
    <w:rsid w:val="00DF55A7"/>
    <w:rsid w:val="00E00F0F"/>
    <w:rsid w:val="00E1119A"/>
    <w:rsid w:val="00E129D4"/>
    <w:rsid w:val="00E153E6"/>
    <w:rsid w:val="00E2547E"/>
    <w:rsid w:val="00E31801"/>
    <w:rsid w:val="00E334B7"/>
    <w:rsid w:val="00E43DA2"/>
    <w:rsid w:val="00E529C5"/>
    <w:rsid w:val="00E53CDD"/>
    <w:rsid w:val="00E54334"/>
    <w:rsid w:val="00E55752"/>
    <w:rsid w:val="00E604E0"/>
    <w:rsid w:val="00E67B63"/>
    <w:rsid w:val="00E70BAF"/>
    <w:rsid w:val="00E71294"/>
    <w:rsid w:val="00E72F00"/>
    <w:rsid w:val="00E750B4"/>
    <w:rsid w:val="00E81283"/>
    <w:rsid w:val="00E90C1F"/>
    <w:rsid w:val="00EA3E67"/>
    <w:rsid w:val="00EB09F1"/>
    <w:rsid w:val="00EB18BB"/>
    <w:rsid w:val="00EC2E37"/>
    <w:rsid w:val="00ED29CD"/>
    <w:rsid w:val="00EE0407"/>
    <w:rsid w:val="00EE45A1"/>
    <w:rsid w:val="00EF166B"/>
    <w:rsid w:val="00EF29B5"/>
    <w:rsid w:val="00EF3C04"/>
    <w:rsid w:val="00EF3FC1"/>
    <w:rsid w:val="00F002E4"/>
    <w:rsid w:val="00F12386"/>
    <w:rsid w:val="00F155A4"/>
    <w:rsid w:val="00F176BF"/>
    <w:rsid w:val="00F20745"/>
    <w:rsid w:val="00F26756"/>
    <w:rsid w:val="00F26987"/>
    <w:rsid w:val="00F269F7"/>
    <w:rsid w:val="00F27A1E"/>
    <w:rsid w:val="00F320EE"/>
    <w:rsid w:val="00F32DDE"/>
    <w:rsid w:val="00F40A58"/>
    <w:rsid w:val="00F41759"/>
    <w:rsid w:val="00F53E5F"/>
    <w:rsid w:val="00F55A74"/>
    <w:rsid w:val="00F64FCB"/>
    <w:rsid w:val="00F6576C"/>
    <w:rsid w:val="00F726D6"/>
    <w:rsid w:val="00F75F4A"/>
    <w:rsid w:val="00F776E9"/>
    <w:rsid w:val="00F8047F"/>
    <w:rsid w:val="00F86895"/>
    <w:rsid w:val="00F915A2"/>
    <w:rsid w:val="00F97EEB"/>
    <w:rsid w:val="00FA2518"/>
    <w:rsid w:val="00FB2339"/>
    <w:rsid w:val="00FC2B0A"/>
    <w:rsid w:val="00FC6FA1"/>
    <w:rsid w:val="00FD15A3"/>
    <w:rsid w:val="00FD3A72"/>
    <w:rsid w:val="00FE764F"/>
    <w:rsid w:val="00FF008E"/>
    <w:rsid w:val="00FF34BB"/>
    <w:rsid w:val="00FF76AC"/>
    <w:rsid w:val="748F5F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nhideWhenUsed="0" w:uiPriority="99" w:name=""/>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link w:val="16"/>
    <w:qFormat/>
    <w:locked/>
    <w:uiPriority w:val="99"/>
    <w:pPr>
      <w:widowControl/>
      <w:spacing w:before="100" w:beforeAutospacing="1" w:after="100" w:afterAutospacing="1"/>
      <w:jc w:val="left"/>
      <w:outlineLvl w:val="0"/>
    </w:pPr>
    <w:rPr>
      <w:rFonts w:ascii="宋体"/>
      <w:b/>
      <w:bCs/>
      <w:color w:val="000000"/>
      <w:kern w:val="36"/>
      <w:sz w:val="48"/>
      <w:szCs w:val="48"/>
    </w:rPr>
  </w:style>
  <w:style w:type="paragraph" w:styleId="3">
    <w:name w:val="heading 2"/>
    <w:basedOn w:val="1"/>
    <w:link w:val="17"/>
    <w:qFormat/>
    <w:locked/>
    <w:uiPriority w:val="99"/>
    <w:pPr>
      <w:widowControl/>
      <w:spacing w:before="100" w:beforeAutospacing="1" w:after="100" w:afterAutospacing="1"/>
      <w:jc w:val="left"/>
      <w:outlineLvl w:val="1"/>
    </w:pPr>
    <w:rPr>
      <w:rFonts w:ascii="宋体"/>
      <w:b/>
      <w:bCs/>
      <w:color w:val="000000"/>
      <w:kern w:val="0"/>
      <w:sz w:val="36"/>
      <w:szCs w:val="36"/>
    </w:rPr>
  </w:style>
  <w:style w:type="character" w:default="1" w:styleId="12">
    <w:name w:val="Default Paragraph Font"/>
    <w:semiHidden/>
    <w:unhideWhenUsed/>
    <w:uiPriority w:val="1"/>
  </w:style>
  <w:style w:type="table" w:default="1" w:styleId="11">
    <w:name w:val="Normal Table"/>
    <w:semiHidden/>
    <w:unhideWhenUsed/>
    <w:uiPriority w:val="99"/>
    <w:tblPr>
      <w:tblStyle w:val="11"/>
      <w:tblCellMar>
        <w:top w:w="0" w:type="dxa"/>
        <w:left w:w="108" w:type="dxa"/>
        <w:bottom w:w="0" w:type="dxa"/>
        <w:right w:w="108" w:type="dxa"/>
      </w:tblCellMar>
    </w:tblPr>
    <w:trPr>
      <w:wBefore w:w="0" w:type="dxa"/>
    </w:trPr>
  </w:style>
  <w:style w:type="paragraph" w:styleId="4">
    <w:name w:val="Document Map"/>
    <w:basedOn w:val="1"/>
    <w:link w:val="24"/>
    <w:semiHidden/>
    <w:unhideWhenUsed/>
    <w:uiPriority w:val="99"/>
    <w:rPr>
      <w:rFonts w:ascii="宋体"/>
      <w:sz w:val="18"/>
      <w:szCs w:val="18"/>
    </w:rPr>
  </w:style>
  <w:style w:type="paragraph" w:styleId="5">
    <w:name w:val="annotation text"/>
    <w:basedOn w:val="1"/>
    <w:link w:val="22"/>
    <w:semiHidden/>
    <w:uiPriority w:val="99"/>
    <w:pPr>
      <w:jc w:val="left"/>
    </w:pPr>
    <w:rPr>
      <w:kern w:val="0"/>
      <w:sz w:val="20"/>
      <w:szCs w:val="20"/>
    </w:rPr>
  </w:style>
  <w:style w:type="paragraph" w:styleId="6">
    <w:name w:val="Date"/>
    <w:basedOn w:val="1"/>
    <w:next w:val="1"/>
    <w:link w:val="27"/>
    <w:semiHidden/>
    <w:unhideWhenUsed/>
    <w:uiPriority w:val="99"/>
    <w:pPr>
      <w:ind w:left="100" w:leftChars="2500"/>
    </w:pPr>
  </w:style>
  <w:style w:type="paragraph" w:styleId="7">
    <w:name w:val="Balloon Text"/>
    <w:basedOn w:val="1"/>
    <w:link w:val="21"/>
    <w:semiHidden/>
    <w:uiPriority w:val="99"/>
    <w:rPr>
      <w:kern w:val="0"/>
      <w:sz w:val="18"/>
      <w:szCs w:val="18"/>
    </w:rPr>
  </w:style>
  <w:style w:type="paragraph" w:styleId="8">
    <w:name w:val="footer"/>
    <w:basedOn w:val="1"/>
    <w:link w:val="19"/>
    <w:semiHidden/>
    <w:uiPriority w:val="99"/>
    <w:pPr>
      <w:tabs>
        <w:tab w:val="center" w:pos="4153"/>
        <w:tab w:val="right" w:pos="8306"/>
      </w:tabs>
      <w:snapToGrid w:val="0"/>
      <w:jc w:val="left"/>
    </w:pPr>
    <w:rPr>
      <w:kern w:val="0"/>
      <w:sz w:val="18"/>
      <w:szCs w:val="18"/>
    </w:rPr>
  </w:style>
  <w:style w:type="paragraph" w:styleId="9">
    <w:name w:val="header"/>
    <w:basedOn w:val="1"/>
    <w:link w:val="18"/>
    <w:semiHidden/>
    <w:uiPriority w:val="99"/>
    <w:pPr>
      <w:pBdr>
        <w:bottom w:val="single" w:color="auto" w:sz="6" w:space="1"/>
      </w:pBdr>
      <w:tabs>
        <w:tab w:val="center" w:pos="4153"/>
        <w:tab w:val="right" w:pos="8306"/>
      </w:tabs>
      <w:snapToGrid w:val="0"/>
      <w:jc w:val="center"/>
    </w:pPr>
    <w:rPr>
      <w:kern w:val="0"/>
      <w:sz w:val="18"/>
      <w:szCs w:val="18"/>
    </w:rPr>
  </w:style>
  <w:style w:type="paragraph" w:styleId="10">
    <w:name w:val="annotation subject"/>
    <w:basedOn w:val="5"/>
    <w:next w:val="5"/>
    <w:link w:val="23"/>
    <w:semiHidden/>
    <w:uiPriority w:val="99"/>
    <w:rPr>
      <w:b/>
      <w:bCs/>
    </w:rPr>
  </w:style>
  <w:style w:type="character" w:styleId="13">
    <w:name w:val="Emphasis"/>
    <w:qFormat/>
    <w:locked/>
    <w:uiPriority w:val="20"/>
    <w:rPr>
      <w:color w:val="CC0000"/>
    </w:rPr>
  </w:style>
  <w:style w:type="character" w:styleId="14">
    <w:name w:val="Hyperlink"/>
    <w:uiPriority w:val="99"/>
    <w:rPr>
      <w:rFonts w:cs="Times New Roman"/>
      <w:color w:val="0000FF"/>
      <w:u w:val="single"/>
    </w:rPr>
  </w:style>
  <w:style w:type="character" w:styleId="15">
    <w:name w:val="annotation reference"/>
    <w:semiHidden/>
    <w:uiPriority w:val="99"/>
    <w:rPr>
      <w:rFonts w:cs="Times New Roman"/>
      <w:sz w:val="21"/>
      <w:szCs w:val="21"/>
    </w:rPr>
  </w:style>
  <w:style w:type="character" w:customStyle="1" w:styleId="16">
    <w:name w:val="标题 1 Char"/>
    <w:link w:val="2"/>
    <w:locked/>
    <w:uiPriority w:val="99"/>
    <w:rPr>
      <w:rFonts w:ascii="宋体" w:eastAsia="宋体" w:cs="宋体"/>
      <w:b/>
      <w:bCs/>
      <w:color w:val="000000"/>
      <w:kern w:val="36"/>
      <w:sz w:val="48"/>
      <w:szCs w:val="48"/>
    </w:rPr>
  </w:style>
  <w:style w:type="character" w:customStyle="1" w:styleId="17">
    <w:name w:val="标题 2 Char"/>
    <w:link w:val="3"/>
    <w:locked/>
    <w:uiPriority w:val="99"/>
    <w:rPr>
      <w:rFonts w:ascii="宋体" w:eastAsia="宋体" w:cs="宋体"/>
      <w:b/>
      <w:bCs/>
      <w:color w:val="000000"/>
      <w:sz w:val="36"/>
      <w:szCs w:val="36"/>
    </w:rPr>
  </w:style>
  <w:style w:type="character" w:customStyle="1" w:styleId="18">
    <w:name w:val="页眉 Char"/>
    <w:link w:val="9"/>
    <w:semiHidden/>
    <w:locked/>
    <w:uiPriority w:val="99"/>
    <w:rPr>
      <w:rFonts w:cs="Times New Roman"/>
      <w:sz w:val="18"/>
      <w:szCs w:val="18"/>
    </w:rPr>
  </w:style>
  <w:style w:type="character" w:customStyle="1" w:styleId="19">
    <w:name w:val="页脚 Char"/>
    <w:link w:val="8"/>
    <w:semiHidden/>
    <w:locked/>
    <w:uiPriority w:val="99"/>
    <w:rPr>
      <w:rFonts w:cs="Times New Roman"/>
      <w:sz w:val="18"/>
      <w:szCs w:val="18"/>
    </w:rPr>
  </w:style>
  <w:style w:type="paragraph" w:styleId="20">
    <w:name w:val="List Paragraph"/>
    <w:basedOn w:val="1"/>
    <w:qFormat/>
    <w:uiPriority w:val="34"/>
    <w:pPr>
      <w:ind w:firstLine="420" w:firstLineChars="200"/>
    </w:pPr>
  </w:style>
  <w:style w:type="character" w:customStyle="1" w:styleId="21">
    <w:name w:val="批注框文本 Char"/>
    <w:link w:val="7"/>
    <w:semiHidden/>
    <w:locked/>
    <w:uiPriority w:val="99"/>
    <w:rPr>
      <w:rFonts w:cs="Times New Roman"/>
      <w:sz w:val="18"/>
      <w:szCs w:val="18"/>
    </w:rPr>
  </w:style>
  <w:style w:type="character" w:customStyle="1" w:styleId="22">
    <w:name w:val="批注文字 Char"/>
    <w:link w:val="5"/>
    <w:semiHidden/>
    <w:locked/>
    <w:uiPriority w:val="99"/>
    <w:rPr>
      <w:rFonts w:cs="Times New Roman"/>
    </w:rPr>
  </w:style>
  <w:style w:type="character" w:customStyle="1" w:styleId="23">
    <w:name w:val="批注主题 Char"/>
    <w:link w:val="10"/>
    <w:semiHidden/>
    <w:locked/>
    <w:uiPriority w:val="99"/>
    <w:rPr>
      <w:rFonts w:cs="Times New Roman"/>
      <w:b/>
      <w:bCs/>
    </w:rPr>
  </w:style>
  <w:style w:type="character" w:customStyle="1" w:styleId="24">
    <w:name w:val="文档结构图 Char"/>
    <w:link w:val="4"/>
    <w:semiHidden/>
    <w:uiPriority w:val="99"/>
    <w:rPr>
      <w:rFonts w:ascii="宋体"/>
      <w:kern w:val="2"/>
      <w:sz w:val="18"/>
      <w:szCs w:val="18"/>
    </w:rPr>
  </w:style>
  <w:style w:type="character" w:customStyle="1" w:styleId="25">
    <w:name w:val="已访问的超链接1"/>
    <w:semiHidden/>
    <w:unhideWhenUsed/>
    <w:uiPriority w:val="99"/>
    <w:rPr>
      <w:color w:val="800080"/>
      <w:u w:val="single"/>
    </w:rPr>
  </w:style>
  <w:style w:type="paragraph" w:styleId="26">
    <w:name w:val=""/>
    <w:hidden/>
    <w:semiHidden/>
    <w:uiPriority w:val="99"/>
    <w:rPr>
      <w:kern w:val="2"/>
      <w:sz w:val="21"/>
      <w:szCs w:val="22"/>
      <w:lang w:val="en-US" w:eastAsia="zh-CN" w:bidi="ar-SA"/>
    </w:rPr>
  </w:style>
  <w:style w:type="character" w:customStyle="1" w:styleId="27">
    <w:name w:val="日期 Char"/>
    <w:link w:val="6"/>
    <w:semiHidden/>
    <w:uiPriority w:val="99"/>
    <w:rPr>
      <w:kern w:val="2"/>
      <w:sz w:val="21"/>
      <w:szCs w:val="22"/>
    </w:rPr>
  </w:style>
  <w:style w:type="paragraph" w:customStyle="1" w:styleId="28">
    <w:name w:val="doc-a1"/>
    <w:basedOn w:val="1"/>
    <w:semiHidden/>
    <w:qFormat/>
    <w:uiPriority w:val="99"/>
    <w:pPr>
      <w:widowControl/>
      <w:spacing w:before="100" w:beforeAutospacing="1" w:after="100" w:afterAutospacing="1"/>
      <w:ind w:firstLine="480"/>
      <w:jc w:val="left"/>
    </w:pPr>
    <w:rPr>
      <w:rFonts w:ascii="微软雅黑" w:hAnsi="微软雅黑" w:eastAsia="微软雅黑" w:cs="宋体"/>
      <w:kern w:val="0"/>
      <w:sz w:val="24"/>
      <w:szCs w:val="24"/>
    </w:rPr>
  </w:style>
  <w:style w:type="character" w:customStyle="1" w:styleId="29">
    <w:name w:val="navtiao"/>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9"/>
    <customShpInfo spid="_x0000_s102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中税协</Company>
  <Pages>26</Pages>
  <Words>11633</Words>
  <Characters>11971</Characters>
  <Lines>348</Lines>
  <Paragraphs>216</Paragraphs>
  <TotalTime>0</TotalTime>
  <ScaleCrop>false</ScaleCrop>
  <LinksUpToDate>false</LinksUpToDate>
  <CharactersWithSpaces>12081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2024-09-09T01:20:00Z</dcterms:created>
  <dc:creator>金宁</dc:creator>
  <cp:lastModifiedBy>Juen</cp:lastModifiedBy>
  <cp:lastPrinted>2017-03-06T07:06:00Z</cp:lastPrinted>
  <dcterms:modified xsi:type="dcterms:W3CDTF">2024-09-13T02:22:23Z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BC7EA83150AD44D4928FB4D2A2C7480D_13</vt:lpwstr>
  </property>
</Properties>
</file>